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7EFCAD8">
      <w:pPr>
        <w:keepNext w:val="0"/>
        <w:keepLines w:val="0"/>
        <w:pageBreakBefore w:val="0"/>
        <w:kinsoku/>
        <w:overflowPunct/>
        <w:topLinePunct w:val="0"/>
        <w:bidi w:val="0"/>
        <w:snapToGrid/>
        <w:spacing w:line="600" w:lineRule="exact"/>
        <w:ind w:left="0" w:leftChars="0" w:firstLine="0" w:firstLineChars="0"/>
        <w:jc w:val="center"/>
        <w:textAlignment w:val="auto"/>
        <w:rPr>
          <w:rFonts w:ascii="方正小标宋简体" w:hAnsi="宋体" w:eastAsia="方正小标宋简体"/>
          <w:color w:val="000000"/>
          <w:sz w:val="44"/>
          <w:szCs w:val="32"/>
        </w:rPr>
      </w:pPr>
      <w:r>
        <w:rPr>
          <w:rFonts w:hint="eastAsia" w:ascii="方正小标宋简体" w:hAnsi="宋体" w:eastAsia="方正小标宋简体"/>
          <w:color w:val="000000"/>
          <w:sz w:val="44"/>
          <w:szCs w:val="32"/>
        </w:rPr>
        <w:t>团体标准《地震安全性评价现场工作技术规范》（征求意见稿）编制说明</w:t>
      </w:r>
    </w:p>
    <w:p w14:paraId="7545AED6">
      <w:pPr>
        <w:keepNext w:val="0"/>
        <w:keepLines w:val="0"/>
        <w:pageBreakBefore w:val="0"/>
        <w:kinsoku/>
        <w:overflowPunct/>
        <w:topLinePunct w:val="0"/>
        <w:autoSpaceDE w:val="0"/>
        <w:autoSpaceDN w:val="0"/>
        <w:bidi w:val="0"/>
        <w:adjustRightInd w:val="0"/>
        <w:snapToGrid/>
        <w:spacing w:line="560" w:lineRule="exact"/>
        <w:ind w:left="0" w:firstLine="640" w:firstLineChars="200"/>
        <w:jc w:val="left"/>
        <w:textAlignment w:val="auto"/>
        <w:rPr>
          <w:rFonts w:ascii="黑体" w:hAnsi="黑体" w:eastAsia="黑体" w:cs="仿宋_GB2312"/>
          <w:sz w:val="32"/>
          <w:szCs w:val="32"/>
        </w:rPr>
      </w:pPr>
    </w:p>
    <w:p w14:paraId="0D5136F0">
      <w:pPr>
        <w:keepNext w:val="0"/>
        <w:keepLines w:val="0"/>
        <w:pageBreakBefore w:val="0"/>
        <w:kinsoku/>
        <w:overflowPunct/>
        <w:topLinePunct w:val="0"/>
        <w:autoSpaceDE w:val="0"/>
        <w:autoSpaceDN w:val="0"/>
        <w:bidi w:val="0"/>
        <w:adjustRightInd w:val="0"/>
        <w:snapToGrid/>
        <w:spacing w:line="560" w:lineRule="exact"/>
        <w:ind w:left="0" w:firstLine="640" w:firstLineChars="200"/>
        <w:jc w:val="left"/>
        <w:textAlignment w:val="auto"/>
        <w:rPr>
          <w:rFonts w:ascii="黑体" w:hAnsi="黑体" w:eastAsia="黑体" w:cs="仿宋_GB2312"/>
          <w:sz w:val="32"/>
          <w:szCs w:val="32"/>
        </w:rPr>
      </w:pPr>
      <w:r>
        <w:rPr>
          <w:rFonts w:hint="eastAsia" w:ascii="黑体" w:hAnsi="黑体" w:eastAsia="黑体" w:cs="仿宋_GB2312"/>
          <w:sz w:val="32"/>
          <w:szCs w:val="32"/>
        </w:rPr>
        <w:t>一、任务来源、起草单位、主要起草人</w:t>
      </w:r>
    </w:p>
    <w:p w14:paraId="7FB55DF0">
      <w:pPr>
        <w:keepNext w:val="0"/>
        <w:keepLines w:val="0"/>
        <w:pageBreakBefore w:val="0"/>
        <w:kinsoku/>
        <w:overflowPunct/>
        <w:topLinePunct w:val="0"/>
        <w:bidi w:val="0"/>
        <w:snapToGrid/>
        <w:ind w:left="0" w:firstLine="640" w:firstLineChars="200"/>
        <w:textAlignment w:val="auto"/>
        <w:rPr>
          <w:rFonts w:ascii="仿宋_GB2312" w:hAnsi="宋体" w:eastAsia="仿宋_GB2312"/>
          <w:color w:val="auto"/>
          <w:sz w:val="32"/>
          <w:szCs w:val="28"/>
        </w:rPr>
      </w:pPr>
      <w:r>
        <w:rPr>
          <w:rFonts w:hint="eastAsia" w:ascii="仿宋_GB2312" w:hAnsi="宋体" w:eastAsia="仿宋_GB2312"/>
          <w:color w:val="auto"/>
          <w:sz w:val="32"/>
          <w:szCs w:val="28"/>
          <w:highlight w:val="none"/>
        </w:rPr>
        <w:t>根据《广西标准化协会关于下达20</w:t>
      </w:r>
      <w:r>
        <w:rPr>
          <w:rFonts w:hint="eastAsia" w:ascii="仿宋_GB2312" w:hAnsi="宋体"/>
          <w:color w:val="auto"/>
          <w:sz w:val="32"/>
          <w:szCs w:val="28"/>
          <w:highlight w:val="none"/>
          <w:lang w:val="en-US" w:eastAsia="zh-CN"/>
        </w:rPr>
        <w:t>25</w:t>
      </w:r>
      <w:r>
        <w:rPr>
          <w:rFonts w:hint="eastAsia" w:ascii="仿宋_GB2312" w:hAnsi="宋体" w:eastAsia="仿宋_GB2312"/>
          <w:color w:val="auto"/>
          <w:sz w:val="32"/>
          <w:szCs w:val="28"/>
          <w:highlight w:val="none"/>
        </w:rPr>
        <w:t>年第</w:t>
      </w:r>
      <w:r>
        <w:rPr>
          <w:rFonts w:hint="eastAsia" w:ascii="仿宋_GB2312" w:hAnsi="宋体"/>
          <w:color w:val="auto"/>
          <w:sz w:val="32"/>
          <w:szCs w:val="28"/>
          <w:highlight w:val="none"/>
          <w:lang w:val="en-US" w:eastAsia="zh-CN"/>
        </w:rPr>
        <w:t>三十九</w:t>
      </w:r>
      <w:r>
        <w:rPr>
          <w:rFonts w:hint="eastAsia" w:ascii="仿宋_GB2312" w:hAnsi="宋体" w:eastAsia="仿宋_GB2312"/>
          <w:color w:val="auto"/>
          <w:sz w:val="32"/>
          <w:szCs w:val="28"/>
          <w:highlight w:val="none"/>
        </w:rPr>
        <w:t>批团体标准制修订项目计划的通知》（桂标协〔20</w:t>
      </w:r>
      <w:r>
        <w:rPr>
          <w:rFonts w:hint="eastAsia" w:ascii="仿宋_GB2312" w:hAnsi="宋体"/>
          <w:color w:val="auto"/>
          <w:sz w:val="32"/>
          <w:szCs w:val="28"/>
          <w:highlight w:val="none"/>
          <w:lang w:val="en-US" w:eastAsia="zh-CN"/>
        </w:rPr>
        <w:t>25</w:t>
      </w:r>
      <w:r>
        <w:rPr>
          <w:rFonts w:hint="eastAsia" w:ascii="仿宋_GB2312" w:hAnsi="宋体" w:eastAsia="仿宋_GB2312"/>
          <w:color w:val="auto"/>
          <w:sz w:val="32"/>
          <w:szCs w:val="28"/>
          <w:highlight w:val="none"/>
        </w:rPr>
        <w:t>〕</w:t>
      </w:r>
      <w:r>
        <w:rPr>
          <w:rFonts w:hint="eastAsia" w:ascii="仿宋_GB2312" w:hAnsi="宋体"/>
          <w:color w:val="auto"/>
          <w:sz w:val="32"/>
          <w:szCs w:val="28"/>
          <w:highlight w:val="none"/>
          <w:lang w:val="en-US" w:eastAsia="zh-CN"/>
        </w:rPr>
        <w:t>350</w:t>
      </w:r>
      <w:r>
        <w:rPr>
          <w:rFonts w:hint="eastAsia" w:ascii="仿宋_GB2312" w:hAnsi="宋体" w:eastAsia="仿宋_GB2312"/>
          <w:color w:val="auto"/>
          <w:sz w:val="32"/>
          <w:szCs w:val="28"/>
          <w:highlight w:val="none"/>
        </w:rPr>
        <w:t>号）文件精神，由</w:t>
      </w:r>
      <w:r>
        <w:rPr>
          <w:rFonts w:hint="eastAsia" w:ascii="仿宋_GB2312" w:hAnsi="宋体"/>
          <w:color w:val="auto"/>
          <w:sz w:val="32"/>
          <w:szCs w:val="28"/>
          <w:highlight w:val="none"/>
          <w:lang w:val="en-US" w:eastAsia="zh-CN"/>
        </w:rPr>
        <w:t>广西壮族自治区地震局</w:t>
      </w:r>
      <w:r>
        <w:rPr>
          <w:rFonts w:hint="eastAsia" w:ascii="仿宋_GB2312" w:hAnsi="宋体" w:eastAsia="仿宋_GB2312"/>
          <w:color w:val="auto"/>
          <w:sz w:val="32"/>
          <w:szCs w:val="28"/>
          <w:highlight w:val="none"/>
        </w:rPr>
        <w:t>提出，</w:t>
      </w:r>
      <w:r>
        <w:rPr>
          <w:rFonts w:hint="eastAsia" w:ascii="仿宋_GB2312" w:hAnsi="宋体"/>
          <w:color w:val="auto"/>
          <w:sz w:val="32"/>
          <w:szCs w:val="28"/>
          <w:highlight w:val="none"/>
          <w:lang w:val="en-US" w:eastAsia="zh-CN"/>
        </w:rPr>
        <w:t>广西壮族自治区地震局、广西壮族自治区防震减灾和紧急救援办公室、广西壮族自治区震灾风险防治中心、桂林理工大学</w:t>
      </w:r>
      <w:r>
        <w:rPr>
          <w:rFonts w:hint="eastAsia" w:ascii="仿宋_GB2312" w:hAnsi="宋体" w:eastAsia="仿宋_GB2312"/>
          <w:color w:val="auto"/>
          <w:sz w:val="32"/>
          <w:szCs w:val="28"/>
          <w:highlight w:val="none"/>
        </w:rPr>
        <w:t>等</w:t>
      </w:r>
      <w:r>
        <w:rPr>
          <w:rFonts w:ascii="仿宋_GB2312" w:hAnsi="宋体" w:eastAsia="仿宋_GB2312"/>
          <w:color w:val="auto"/>
          <w:sz w:val="32"/>
          <w:szCs w:val="28"/>
          <w:highlight w:val="none"/>
        </w:rPr>
        <w:t>单位</w:t>
      </w:r>
      <w:r>
        <w:rPr>
          <w:rFonts w:hint="eastAsia" w:ascii="仿宋_GB2312" w:hAnsi="宋体" w:eastAsia="仿宋_GB2312"/>
          <w:color w:val="auto"/>
          <w:sz w:val="32"/>
          <w:szCs w:val="28"/>
          <w:highlight w:val="none"/>
        </w:rPr>
        <w:t>共同起草的团体标准《地震安全性评价现场工作技术规范》（项目编号：20</w:t>
      </w:r>
      <w:r>
        <w:rPr>
          <w:rFonts w:hint="eastAsia" w:ascii="仿宋_GB2312" w:hAnsi="宋体"/>
          <w:color w:val="auto"/>
          <w:sz w:val="32"/>
          <w:szCs w:val="28"/>
          <w:highlight w:val="none"/>
          <w:lang w:val="en-US" w:eastAsia="zh-CN"/>
        </w:rPr>
        <w:t>25</w:t>
      </w:r>
      <w:r>
        <w:rPr>
          <w:rFonts w:hint="eastAsia" w:ascii="仿宋_GB2312" w:hAnsi="宋体" w:eastAsia="仿宋_GB2312"/>
          <w:color w:val="auto"/>
          <w:sz w:val="32"/>
          <w:szCs w:val="28"/>
          <w:highlight w:val="none"/>
        </w:rPr>
        <w:t>-</w:t>
      </w:r>
      <w:r>
        <w:rPr>
          <w:rFonts w:hint="eastAsia" w:ascii="仿宋_GB2312" w:hAnsi="宋体"/>
          <w:color w:val="auto"/>
          <w:sz w:val="32"/>
          <w:szCs w:val="28"/>
          <w:highlight w:val="none"/>
          <w:lang w:val="en-US" w:eastAsia="zh-CN"/>
        </w:rPr>
        <w:t>3905</w:t>
      </w:r>
      <w:r>
        <w:rPr>
          <w:rFonts w:hint="eastAsia" w:ascii="仿宋_GB2312" w:hAnsi="宋体" w:eastAsia="仿宋_GB2312"/>
          <w:color w:val="auto"/>
          <w:sz w:val="32"/>
          <w:szCs w:val="28"/>
          <w:highlight w:val="none"/>
        </w:rPr>
        <w:t>）已获批</w:t>
      </w:r>
      <w:r>
        <w:rPr>
          <w:rFonts w:hint="eastAsia" w:ascii="仿宋_GB2312" w:hAnsi="宋体" w:eastAsia="仿宋_GB2312"/>
          <w:color w:val="auto"/>
          <w:sz w:val="32"/>
          <w:szCs w:val="28"/>
        </w:rPr>
        <w:t>立项。</w:t>
      </w:r>
    </w:p>
    <w:p w14:paraId="134AFA4C">
      <w:pPr>
        <w:keepNext w:val="0"/>
        <w:keepLines w:val="0"/>
        <w:pageBreakBefore w:val="0"/>
        <w:kinsoku/>
        <w:overflowPunct/>
        <w:topLinePunct w:val="0"/>
        <w:bidi w:val="0"/>
        <w:snapToGrid/>
        <w:ind w:left="0" w:firstLine="640" w:firstLineChars="200"/>
        <w:textAlignment w:val="auto"/>
        <w:rPr>
          <w:rFonts w:ascii="仿宋_GB2312" w:hAnsi="宋体" w:eastAsia="仿宋_GB2312"/>
          <w:color w:val="auto"/>
          <w:sz w:val="32"/>
          <w:szCs w:val="28"/>
        </w:rPr>
      </w:pPr>
      <w:r>
        <w:rPr>
          <w:rFonts w:hint="eastAsia" w:ascii="仿宋_GB2312" w:hAnsi="宋体" w:eastAsia="仿宋_GB2312"/>
          <w:color w:val="auto"/>
          <w:sz w:val="32"/>
          <w:szCs w:val="28"/>
        </w:rPr>
        <w:t>为高质量编制团体标准《</w:t>
      </w:r>
      <w:r>
        <w:rPr>
          <w:rFonts w:hint="eastAsia" w:ascii="仿宋_GB2312" w:hAnsi="宋体" w:eastAsia="仿宋_GB2312"/>
          <w:color w:val="auto"/>
          <w:sz w:val="32"/>
          <w:szCs w:val="28"/>
          <w:highlight w:val="none"/>
        </w:rPr>
        <w:t>地震安全性评价现场工作技术规范</w:t>
      </w:r>
      <w:r>
        <w:rPr>
          <w:rFonts w:hint="eastAsia" w:ascii="仿宋_GB2312" w:hAnsi="宋体" w:eastAsia="仿宋_GB2312"/>
          <w:color w:val="auto"/>
          <w:sz w:val="32"/>
          <w:szCs w:val="28"/>
        </w:rPr>
        <w:t>》，由起草单位成立标准编制工作组并进行如下分工：</w:t>
      </w:r>
    </w:p>
    <w:tbl>
      <w:tblPr>
        <w:tblStyle w:val="6"/>
        <w:tblW w:w="4996" w:type="pct"/>
        <w:tblInd w:w="0" w:type="dxa"/>
        <w:tblLayout w:type="autofit"/>
        <w:tblCellMar>
          <w:top w:w="0" w:type="dxa"/>
          <w:left w:w="108" w:type="dxa"/>
          <w:bottom w:w="0" w:type="dxa"/>
          <w:right w:w="108" w:type="dxa"/>
        </w:tblCellMar>
      </w:tblPr>
      <w:tblGrid>
        <w:gridCol w:w="1095"/>
        <w:gridCol w:w="1095"/>
        <w:gridCol w:w="1333"/>
        <w:gridCol w:w="2822"/>
        <w:gridCol w:w="2822"/>
      </w:tblGrid>
      <w:tr w14:paraId="7809343D">
        <w:tblPrEx>
          <w:tblCellMar>
            <w:top w:w="0" w:type="dxa"/>
            <w:left w:w="108" w:type="dxa"/>
            <w:bottom w:w="0" w:type="dxa"/>
            <w:right w:w="108" w:type="dxa"/>
          </w:tblCellMar>
        </w:tblPrEx>
        <w:trPr>
          <w:cantSplit/>
          <w:trHeight w:val="578" w:hRule="atLeast"/>
          <w:tblHeader/>
        </w:trPr>
        <w:tc>
          <w:tcPr>
            <w:tcW w:w="597" w:type="pct"/>
            <w:tcBorders>
              <w:top w:val="single" w:color="auto" w:sz="4" w:space="0"/>
              <w:left w:val="single" w:color="auto" w:sz="4" w:space="0"/>
              <w:bottom w:val="single" w:color="auto" w:sz="4" w:space="0"/>
              <w:right w:val="single" w:color="auto" w:sz="4" w:space="0"/>
            </w:tcBorders>
            <w:vAlign w:val="center"/>
          </w:tcPr>
          <w:p w14:paraId="0E4EF444">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bCs/>
                <w:sz w:val="24"/>
              </w:rPr>
            </w:pPr>
            <w:r>
              <w:rPr>
                <w:rFonts w:hint="eastAsia" w:ascii="仿宋_GB2312" w:hAnsi="仿宋_GB2312" w:eastAsia="仿宋_GB2312" w:cs="仿宋_GB2312"/>
                <w:b/>
                <w:bCs/>
                <w:sz w:val="24"/>
              </w:rPr>
              <w:t>姓  名</w:t>
            </w:r>
          </w:p>
        </w:tc>
        <w:tc>
          <w:tcPr>
            <w:tcW w:w="597" w:type="pct"/>
            <w:tcBorders>
              <w:top w:val="single" w:color="auto" w:sz="4" w:space="0"/>
              <w:left w:val="single" w:color="auto" w:sz="4" w:space="0"/>
              <w:bottom w:val="single" w:color="auto" w:sz="4" w:space="0"/>
              <w:right w:val="single" w:color="auto" w:sz="4" w:space="0"/>
            </w:tcBorders>
            <w:vAlign w:val="center"/>
          </w:tcPr>
          <w:p w14:paraId="05FD9FB6">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bCs/>
                <w:sz w:val="24"/>
              </w:rPr>
            </w:pPr>
            <w:r>
              <w:rPr>
                <w:rFonts w:hint="eastAsia" w:ascii="仿宋_GB2312" w:hAnsi="仿宋_GB2312" w:eastAsia="仿宋_GB2312" w:cs="仿宋_GB2312"/>
                <w:b/>
                <w:bCs/>
                <w:sz w:val="24"/>
              </w:rPr>
              <w:t>职称/职位</w:t>
            </w:r>
          </w:p>
        </w:tc>
        <w:tc>
          <w:tcPr>
            <w:tcW w:w="727" w:type="pct"/>
            <w:tcBorders>
              <w:top w:val="single" w:color="auto" w:sz="4" w:space="0"/>
              <w:left w:val="single" w:color="auto" w:sz="4" w:space="0"/>
              <w:bottom w:val="single" w:color="auto" w:sz="4" w:space="0"/>
              <w:right w:val="single" w:color="auto" w:sz="4" w:space="0"/>
            </w:tcBorders>
            <w:vAlign w:val="center"/>
          </w:tcPr>
          <w:p w14:paraId="6DE4B5C6">
            <w:pPr>
              <w:keepNext w:val="0"/>
              <w:keepLines w:val="0"/>
              <w:pageBreakBefore w:val="0"/>
              <w:widowControl w:val="0"/>
              <w:kinsoku/>
              <w:wordWrap/>
              <w:overflowPunct/>
              <w:topLinePunct w:val="0"/>
              <w:autoSpaceDE/>
              <w:autoSpaceDN/>
              <w:bidi w:val="0"/>
              <w:adjustRightInd/>
              <w:snapToGrid/>
              <w:ind w:left="0" w:firstLine="0" w:firstLineChars="0"/>
              <w:jc w:val="center"/>
              <w:textAlignment w:val="auto"/>
              <w:rPr>
                <w:rFonts w:hint="eastAsia" w:ascii="仿宋_GB2312" w:hAnsi="仿宋_GB2312" w:eastAsia="仿宋_GB2312" w:cs="仿宋_GB2312"/>
                <w:b/>
                <w:bCs/>
                <w:sz w:val="24"/>
              </w:rPr>
            </w:pPr>
            <w:r>
              <w:rPr>
                <w:rFonts w:hint="eastAsia" w:ascii="仿宋_GB2312" w:hAnsi="仿宋_GB2312" w:cs="仿宋_GB2312"/>
                <w:b/>
                <w:bCs/>
                <w:sz w:val="24"/>
                <w:lang w:val="en-US" w:eastAsia="zh-CN"/>
              </w:rPr>
              <w:t>从事专业</w:t>
            </w:r>
          </w:p>
        </w:tc>
        <w:tc>
          <w:tcPr>
            <w:tcW w:w="1539" w:type="pct"/>
            <w:tcBorders>
              <w:top w:val="single" w:color="auto" w:sz="4" w:space="0"/>
              <w:left w:val="single" w:color="auto" w:sz="4" w:space="0"/>
              <w:bottom w:val="single" w:color="auto" w:sz="4" w:space="0"/>
              <w:right w:val="single" w:color="auto" w:sz="4" w:space="0"/>
            </w:tcBorders>
            <w:vAlign w:val="center"/>
          </w:tcPr>
          <w:p w14:paraId="4004B92B">
            <w:pPr>
              <w:keepNext w:val="0"/>
              <w:keepLines w:val="0"/>
              <w:pageBreakBefore w:val="0"/>
              <w:widowControl w:val="0"/>
              <w:kinsoku/>
              <w:wordWrap/>
              <w:overflowPunct/>
              <w:topLinePunct w:val="0"/>
              <w:autoSpaceDE/>
              <w:autoSpaceDN/>
              <w:bidi w:val="0"/>
              <w:adjustRightInd/>
              <w:snapToGrid/>
              <w:ind w:left="0" w:firstLine="0" w:firstLineChars="0"/>
              <w:jc w:val="center"/>
              <w:textAlignment w:val="auto"/>
              <w:rPr>
                <w:rFonts w:hint="default" w:ascii="仿宋_GB2312" w:hAnsi="仿宋_GB2312" w:eastAsia="仿宋_GB2312" w:cs="仿宋_GB2312"/>
                <w:b/>
                <w:bCs/>
                <w:sz w:val="24"/>
                <w:lang w:val="en-US" w:eastAsia="zh-CN"/>
              </w:rPr>
            </w:pPr>
            <w:r>
              <w:rPr>
                <w:rFonts w:hint="eastAsia" w:ascii="仿宋_GB2312" w:hAnsi="仿宋_GB2312" w:cs="仿宋_GB2312"/>
                <w:b/>
                <w:bCs/>
                <w:sz w:val="24"/>
                <w:lang w:val="en-US" w:eastAsia="zh-CN"/>
              </w:rPr>
              <w:t>工作单位</w:t>
            </w:r>
          </w:p>
        </w:tc>
        <w:tc>
          <w:tcPr>
            <w:tcW w:w="1539" w:type="pct"/>
            <w:tcBorders>
              <w:top w:val="single" w:color="auto" w:sz="4" w:space="0"/>
              <w:left w:val="single" w:color="auto" w:sz="4" w:space="0"/>
              <w:bottom w:val="single" w:color="auto" w:sz="4" w:space="0"/>
              <w:right w:val="single" w:color="auto" w:sz="4" w:space="0"/>
            </w:tcBorders>
            <w:vAlign w:val="center"/>
          </w:tcPr>
          <w:p w14:paraId="7A1E50A8">
            <w:pPr>
              <w:keepNext w:val="0"/>
              <w:keepLines w:val="0"/>
              <w:pageBreakBefore w:val="0"/>
              <w:widowControl w:val="0"/>
              <w:kinsoku/>
              <w:wordWrap/>
              <w:overflowPunct/>
              <w:topLinePunct w:val="0"/>
              <w:autoSpaceDE/>
              <w:autoSpaceDN/>
              <w:bidi w:val="0"/>
              <w:adjustRightInd/>
              <w:snapToGrid/>
              <w:ind w:left="0" w:firstLine="0" w:firstLineChars="0"/>
              <w:jc w:val="center"/>
              <w:textAlignment w:val="auto"/>
              <w:rPr>
                <w:rFonts w:hint="eastAsia" w:ascii="仿宋_GB2312" w:hAnsi="仿宋_GB2312" w:eastAsia="仿宋_GB2312" w:cs="仿宋_GB2312"/>
                <w:b/>
                <w:bCs/>
                <w:sz w:val="24"/>
              </w:rPr>
            </w:pPr>
            <w:r>
              <w:rPr>
                <w:rFonts w:hint="eastAsia" w:ascii="仿宋_GB2312" w:hAnsi="仿宋_GB2312" w:eastAsia="仿宋_GB2312" w:cs="仿宋_GB2312"/>
                <w:b/>
                <w:bCs/>
                <w:sz w:val="24"/>
              </w:rPr>
              <w:t>主要负责工作</w:t>
            </w:r>
          </w:p>
        </w:tc>
      </w:tr>
      <w:tr w14:paraId="3BA7805A">
        <w:tblPrEx>
          <w:tblCellMar>
            <w:top w:w="0" w:type="dxa"/>
            <w:left w:w="108" w:type="dxa"/>
            <w:bottom w:w="0" w:type="dxa"/>
            <w:right w:w="108" w:type="dxa"/>
          </w:tblCellMar>
        </w:tblPrEx>
        <w:trPr>
          <w:cantSplit/>
          <w:trHeight w:val="732" w:hRule="atLeast"/>
        </w:trPr>
        <w:tc>
          <w:tcPr>
            <w:tcW w:w="597" w:type="pct"/>
            <w:tcBorders>
              <w:top w:val="single" w:color="auto" w:sz="4" w:space="0"/>
              <w:left w:val="single" w:color="auto" w:sz="4" w:space="0"/>
              <w:bottom w:val="single" w:color="auto" w:sz="4" w:space="0"/>
              <w:right w:val="single" w:color="008000" w:sz="4" w:space="0"/>
            </w:tcBorders>
            <w:shd w:val="clear" w:color="auto" w:fill="auto"/>
            <w:vAlign w:val="center"/>
          </w:tcPr>
          <w:p w14:paraId="14260811">
            <w:pPr>
              <w:keepNext w:val="0"/>
              <w:keepLines w:val="0"/>
              <w:pageBreakBefore w:val="0"/>
              <w:widowControl w:val="0"/>
              <w:kinsoku/>
              <w:wordWrap/>
              <w:overflowPunct/>
              <w:topLinePunct w:val="0"/>
              <w:autoSpaceDE/>
              <w:autoSpaceDN/>
              <w:bidi w:val="0"/>
              <w:adjustRightInd/>
              <w:snapToGrid/>
              <w:ind w:left="0" w:firstLine="0" w:firstLineChars="0"/>
              <w:jc w:val="center"/>
              <w:textAlignment w:val="auto"/>
              <w:rPr>
                <w:rFonts w:hint="eastAsia" w:ascii="仿宋_GB2312" w:hAnsi="仿宋_GB2312" w:eastAsia="仿宋_GB2312" w:cs="仿宋_GB2312"/>
                <w:sz w:val="24"/>
                <w:lang w:val="en-US" w:eastAsia="zh-CN" w:bidi="ar"/>
              </w:rPr>
            </w:pPr>
            <w:r>
              <w:rPr>
                <w:rFonts w:hint="eastAsia" w:ascii="仿宋_GB2312" w:hAnsi="仿宋_GB2312" w:eastAsia="仿宋_GB2312" w:cs="仿宋_GB2312"/>
                <w:sz w:val="24"/>
                <w:lang w:bidi="ar"/>
              </w:rPr>
              <w:t>谭劲先</w:t>
            </w:r>
          </w:p>
        </w:tc>
        <w:tc>
          <w:tcPr>
            <w:tcW w:w="597" w:type="pct"/>
            <w:tcBorders>
              <w:top w:val="single" w:color="auto" w:sz="4" w:space="0"/>
              <w:left w:val="single" w:color="auto" w:sz="4" w:space="0"/>
              <w:bottom w:val="single" w:color="auto" w:sz="4" w:space="0"/>
              <w:right w:val="single" w:color="auto" w:sz="4" w:space="0"/>
            </w:tcBorders>
            <w:shd w:val="clear" w:color="auto" w:fill="auto"/>
            <w:vAlign w:val="center"/>
          </w:tcPr>
          <w:p w14:paraId="12102A0D">
            <w:pPr>
              <w:keepNext w:val="0"/>
              <w:keepLines w:val="0"/>
              <w:pageBreakBefore w:val="0"/>
              <w:widowControl w:val="0"/>
              <w:kinsoku/>
              <w:wordWrap/>
              <w:overflowPunct/>
              <w:topLinePunct w:val="0"/>
              <w:autoSpaceDE/>
              <w:autoSpaceDN/>
              <w:bidi w:val="0"/>
              <w:adjustRightInd/>
              <w:snapToGrid/>
              <w:ind w:left="0" w:firstLine="0" w:firstLineChars="0"/>
              <w:jc w:val="center"/>
              <w:textAlignment w:val="auto"/>
              <w:rPr>
                <w:rFonts w:hint="eastAsia" w:ascii="仿宋_GB2312" w:hAnsi="仿宋_GB2312" w:eastAsia="仿宋_GB2312" w:cs="仿宋_GB2312"/>
                <w:sz w:val="24"/>
                <w:lang w:val="en-US" w:eastAsia="zh-CN" w:bidi="ar"/>
              </w:rPr>
            </w:pPr>
            <w:r>
              <w:rPr>
                <w:rFonts w:hint="eastAsia" w:ascii="仿宋_GB2312" w:hAnsi="仿宋_GB2312" w:eastAsia="仿宋_GB2312" w:cs="仿宋_GB2312"/>
                <w:sz w:val="24"/>
                <w:lang w:bidi="ar"/>
              </w:rPr>
              <w:t>高级工程师</w:t>
            </w:r>
          </w:p>
        </w:tc>
        <w:tc>
          <w:tcPr>
            <w:tcW w:w="727" w:type="pct"/>
            <w:tcBorders>
              <w:top w:val="single" w:color="000000" w:sz="2" w:space="0"/>
              <w:left w:val="single" w:color="auto" w:sz="4" w:space="0"/>
              <w:bottom w:val="single" w:color="auto" w:sz="4" w:space="0"/>
              <w:right w:val="single" w:color="auto" w:sz="4" w:space="0"/>
            </w:tcBorders>
            <w:shd w:val="clear" w:color="auto" w:fill="auto"/>
            <w:vAlign w:val="center"/>
          </w:tcPr>
          <w:p w14:paraId="1129FF34">
            <w:pPr>
              <w:keepNext w:val="0"/>
              <w:keepLines w:val="0"/>
              <w:pageBreakBefore w:val="0"/>
              <w:widowControl w:val="0"/>
              <w:kinsoku/>
              <w:wordWrap/>
              <w:overflowPunct/>
              <w:topLinePunct w:val="0"/>
              <w:autoSpaceDE/>
              <w:autoSpaceDN/>
              <w:bidi w:val="0"/>
              <w:adjustRightInd/>
              <w:snapToGrid/>
              <w:ind w:left="0" w:firstLine="0" w:firstLineChars="0"/>
              <w:jc w:val="center"/>
              <w:textAlignment w:val="auto"/>
              <w:rPr>
                <w:rFonts w:hint="eastAsia" w:ascii="仿宋_GB2312" w:hAnsi="仿宋_GB2312" w:eastAsia="仿宋_GB2312" w:cs="仿宋_GB2312"/>
                <w:sz w:val="24"/>
                <w:lang w:val="en-US" w:eastAsia="zh-CN" w:bidi="ar"/>
              </w:rPr>
            </w:pPr>
            <w:r>
              <w:rPr>
                <w:rFonts w:hint="eastAsia" w:ascii="仿宋_GB2312" w:hAnsi="仿宋_GB2312" w:eastAsia="仿宋_GB2312" w:cs="仿宋_GB2312"/>
                <w:sz w:val="24"/>
                <w:lang w:bidi="ar"/>
              </w:rPr>
              <w:t>工程地震</w:t>
            </w:r>
          </w:p>
        </w:tc>
        <w:tc>
          <w:tcPr>
            <w:tcW w:w="1539" w:type="pct"/>
            <w:tcBorders>
              <w:top w:val="single" w:color="auto" w:sz="4" w:space="0"/>
              <w:left w:val="single" w:color="auto" w:sz="4" w:space="0"/>
              <w:bottom w:val="single" w:color="auto" w:sz="4" w:space="0"/>
              <w:right w:val="single" w:color="auto" w:sz="4" w:space="0"/>
            </w:tcBorders>
            <w:shd w:val="clear" w:color="auto" w:fill="auto"/>
            <w:vAlign w:val="center"/>
          </w:tcPr>
          <w:p w14:paraId="25938E9E">
            <w:pPr>
              <w:keepNext w:val="0"/>
              <w:keepLines w:val="0"/>
              <w:pageBreakBefore w:val="0"/>
              <w:widowControl w:val="0"/>
              <w:kinsoku/>
              <w:wordWrap/>
              <w:overflowPunct/>
              <w:topLinePunct w:val="0"/>
              <w:autoSpaceDE/>
              <w:autoSpaceDN/>
              <w:bidi w:val="0"/>
              <w:adjustRightInd/>
              <w:snapToGrid/>
              <w:ind w:left="0" w:firstLine="0" w:firstLineChars="0"/>
              <w:jc w:val="center"/>
              <w:textAlignment w:val="auto"/>
              <w:rPr>
                <w:rFonts w:hint="eastAsia" w:ascii="仿宋_GB2312" w:hAnsi="仿宋_GB2312" w:eastAsia="仿宋_GB2312" w:cs="仿宋_GB2312"/>
                <w:sz w:val="24"/>
                <w:lang w:val="en-US" w:eastAsia="zh-CN" w:bidi="ar"/>
              </w:rPr>
            </w:pPr>
            <w:r>
              <w:rPr>
                <w:rFonts w:hint="eastAsia" w:ascii="仿宋_GB2312" w:hAnsi="仿宋_GB2312" w:eastAsia="仿宋_GB2312" w:cs="仿宋_GB2312"/>
                <w:sz w:val="24"/>
                <w:lang w:bidi="ar"/>
              </w:rPr>
              <w:t>广西壮族自治区地震局</w:t>
            </w:r>
          </w:p>
        </w:tc>
        <w:tc>
          <w:tcPr>
            <w:tcW w:w="1539" w:type="pct"/>
            <w:tcBorders>
              <w:top w:val="single" w:color="auto" w:sz="4" w:space="0"/>
              <w:left w:val="single" w:color="auto" w:sz="4" w:space="0"/>
              <w:bottom w:val="single" w:color="auto" w:sz="4" w:space="0"/>
              <w:right w:val="single" w:color="auto" w:sz="4" w:space="0"/>
            </w:tcBorders>
            <w:vAlign w:val="center"/>
          </w:tcPr>
          <w:p w14:paraId="13303680">
            <w:pPr>
              <w:keepNext w:val="0"/>
              <w:keepLines w:val="0"/>
              <w:pageBreakBefore w:val="0"/>
              <w:widowControl w:val="0"/>
              <w:kinsoku/>
              <w:wordWrap/>
              <w:overflowPunct/>
              <w:topLinePunct w:val="0"/>
              <w:autoSpaceDE/>
              <w:autoSpaceDN/>
              <w:bidi w:val="0"/>
              <w:adjustRightInd/>
              <w:snapToGrid/>
              <w:ind w:left="0" w:firstLine="0" w:firstLineChars="0"/>
              <w:jc w:val="center"/>
              <w:textAlignment w:val="auto"/>
              <w:rPr>
                <w:rFonts w:ascii="仿宋_GB2312" w:hAnsi="仿宋_GB2312" w:eastAsia="仿宋_GB2312" w:cs="仿宋_GB2312"/>
                <w:sz w:val="24"/>
                <w:lang w:bidi="ar"/>
              </w:rPr>
            </w:pPr>
            <w:r>
              <w:rPr>
                <w:rFonts w:hint="eastAsia" w:ascii="仿宋_GB2312" w:hAnsi="仿宋_GB2312" w:eastAsia="仿宋_GB2312" w:cs="仿宋_GB2312"/>
                <w:sz w:val="24"/>
                <w:lang w:bidi="ar"/>
              </w:rPr>
              <w:t>统筹主持标准编制工作</w:t>
            </w:r>
          </w:p>
        </w:tc>
      </w:tr>
      <w:tr w14:paraId="587F6F9E">
        <w:tblPrEx>
          <w:tblCellMar>
            <w:top w:w="0" w:type="dxa"/>
            <w:left w:w="108" w:type="dxa"/>
            <w:bottom w:w="0" w:type="dxa"/>
            <w:right w:w="108" w:type="dxa"/>
          </w:tblCellMar>
        </w:tblPrEx>
        <w:trPr>
          <w:cantSplit/>
          <w:trHeight w:val="732" w:hRule="atLeast"/>
        </w:trPr>
        <w:tc>
          <w:tcPr>
            <w:tcW w:w="597" w:type="pct"/>
            <w:tcBorders>
              <w:top w:val="single" w:color="auto" w:sz="4" w:space="0"/>
              <w:left w:val="single" w:color="auto" w:sz="4" w:space="0"/>
              <w:bottom w:val="single" w:color="auto" w:sz="4" w:space="0"/>
              <w:right w:val="single" w:color="008000" w:sz="4" w:space="0"/>
            </w:tcBorders>
            <w:shd w:val="clear" w:color="auto" w:fill="auto"/>
            <w:vAlign w:val="center"/>
          </w:tcPr>
          <w:p w14:paraId="62B32256">
            <w:pPr>
              <w:keepNext w:val="0"/>
              <w:keepLines w:val="0"/>
              <w:pageBreakBefore w:val="0"/>
              <w:widowControl w:val="0"/>
              <w:kinsoku/>
              <w:wordWrap/>
              <w:overflowPunct/>
              <w:topLinePunct w:val="0"/>
              <w:autoSpaceDE/>
              <w:autoSpaceDN/>
              <w:bidi w:val="0"/>
              <w:adjustRightInd/>
              <w:snapToGrid/>
              <w:ind w:left="0" w:firstLine="0" w:firstLineChars="0"/>
              <w:jc w:val="center"/>
              <w:textAlignment w:val="auto"/>
              <w:rPr>
                <w:rFonts w:hint="eastAsia" w:ascii="仿宋_GB2312" w:hAnsi="仿宋_GB2312" w:eastAsia="仿宋_GB2312" w:cs="仿宋_GB2312"/>
                <w:sz w:val="24"/>
                <w:lang w:val="en-US" w:eastAsia="zh-CN" w:bidi="ar"/>
              </w:rPr>
            </w:pPr>
            <w:r>
              <w:rPr>
                <w:rFonts w:hint="eastAsia" w:ascii="仿宋_GB2312" w:hAnsi="仿宋_GB2312" w:eastAsia="仿宋_GB2312" w:cs="仿宋_GB2312"/>
                <w:sz w:val="24"/>
                <w:lang w:bidi="ar"/>
              </w:rPr>
              <w:t>李</w:t>
            </w:r>
            <w:r>
              <w:rPr>
                <w:rFonts w:hint="eastAsia" w:ascii="仿宋_GB2312" w:hAnsi="仿宋_GB2312" w:eastAsia="仿宋_GB2312" w:cs="仿宋_GB2312"/>
                <w:sz w:val="24"/>
                <w:lang w:val="en-US" w:eastAsia="zh-CN" w:bidi="ar"/>
              </w:rPr>
              <w:t xml:space="preserve">  </w:t>
            </w:r>
            <w:r>
              <w:rPr>
                <w:rFonts w:hint="eastAsia" w:ascii="仿宋_GB2312" w:hAnsi="仿宋_GB2312" w:eastAsia="仿宋_GB2312" w:cs="仿宋_GB2312"/>
                <w:sz w:val="24"/>
                <w:lang w:bidi="ar"/>
              </w:rPr>
              <w:t>海</w:t>
            </w:r>
          </w:p>
        </w:tc>
        <w:tc>
          <w:tcPr>
            <w:tcW w:w="597" w:type="pct"/>
            <w:tcBorders>
              <w:top w:val="single" w:color="auto" w:sz="4" w:space="0"/>
              <w:left w:val="single" w:color="auto" w:sz="4" w:space="0"/>
              <w:bottom w:val="single" w:color="auto" w:sz="4" w:space="0"/>
              <w:right w:val="single" w:color="auto" w:sz="4" w:space="0"/>
            </w:tcBorders>
            <w:shd w:val="clear" w:color="auto" w:fill="auto"/>
            <w:vAlign w:val="center"/>
          </w:tcPr>
          <w:p w14:paraId="6A303852">
            <w:pPr>
              <w:keepNext w:val="0"/>
              <w:keepLines w:val="0"/>
              <w:pageBreakBefore w:val="0"/>
              <w:widowControl w:val="0"/>
              <w:kinsoku/>
              <w:wordWrap/>
              <w:overflowPunct/>
              <w:topLinePunct w:val="0"/>
              <w:autoSpaceDE/>
              <w:autoSpaceDN/>
              <w:bidi w:val="0"/>
              <w:adjustRightInd/>
              <w:snapToGrid/>
              <w:ind w:left="0" w:firstLine="0" w:firstLineChars="0"/>
              <w:jc w:val="center"/>
              <w:textAlignment w:val="auto"/>
              <w:rPr>
                <w:rFonts w:hint="eastAsia" w:ascii="仿宋_GB2312" w:hAnsi="仿宋_GB2312" w:eastAsia="仿宋_GB2312" w:cs="仿宋_GB2312"/>
                <w:sz w:val="24"/>
                <w:lang w:val="en-US" w:eastAsia="zh-CN" w:bidi="ar"/>
              </w:rPr>
            </w:pPr>
            <w:r>
              <w:rPr>
                <w:rFonts w:hint="eastAsia" w:ascii="仿宋_GB2312" w:hAnsi="仿宋_GB2312" w:eastAsia="仿宋_GB2312" w:cs="仿宋_GB2312"/>
                <w:sz w:val="24"/>
                <w:lang w:bidi="ar"/>
              </w:rPr>
              <w:t>工程师</w:t>
            </w:r>
          </w:p>
        </w:tc>
        <w:tc>
          <w:tcPr>
            <w:tcW w:w="727" w:type="pct"/>
            <w:tcBorders>
              <w:top w:val="single" w:color="000000" w:sz="2" w:space="0"/>
              <w:left w:val="single" w:color="auto" w:sz="4" w:space="0"/>
              <w:bottom w:val="single" w:color="auto" w:sz="4" w:space="0"/>
              <w:right w:val="single" w:color="auto" w:sz="4" w:space="0"/>
            </w:tcBorders>
            <w:shd w:val="clear" w:color="auto" w:fill="auto"/>
            <w:vAlign w:val="center"/>
          </w:tcPr>
          <w:p w14:paraId="1D1AB9A0">
            <w:pPr>
              <w:keepNext w:val="0"/>
              <w:keepLines w:val="0"/>
              <w:pageBreakBefore w:val="0"/>
              <w:widowControl w:val="0"/>
              <w:kinsoku/>
              <w:wordWrap/>
              <w:overflowPunct/>
              <w:topLinePunct w:val="0"/>
              <w:autoSpaceDE/>
              <w:autoSpaceDN/>
              <w:bidi w:val="0"/>
              <w:adjustRightInd/>
              <w:snapToGrid/>
              <w:ind w:left="0" w:firstLine="0" w:firstLineChars="0"/>
              <w:jc w:val="center"/>
              <w:textAlignment w:val="auto"/>
              <w:rPr>
                <w:rFonts w:hint="eastAsia" w:ascii="仿宋_GB2312" w:hAnsi="仿宋_GB2312" w:eastAsia="仿宋_GB2312" w:cs="仿宋_GB2312"/>
                <w:sz w:val="24"/>
                <w:lang w:val="en-US" w:eastAsia="zh-CN" w:bidi="ar"/>
              </w:rPr>
            </w:pPr>
            <w:r>
              <w:rPr>
                <w:rFonts w:hint="eastAsia" w:ascii="仿宋_GB2312" w:hAnsi="仿宋_GB2312" w:eastAsia="仿宋_GB2312" w:cs="仿宋_GB2312"/>
                <w:sz w:val="24"/>
                <w:lang w:bidi="ar"/>
              </w:rPr>
              <w:t>工程地震</w:t>
            </w:r>
          </w:p>
        </w:tc>
        <w:tc>
          <w:tcPr>
            <w:tcW w:w="1539" w:type="pct"/>
            <w:tcBorders>
              <w:top w:val="single" w:color="auto" w:sz="4" w:space="0"/>
              <w:left w:val="single" w:color="auto" w:sz="4" w:space="0"/>
              <w:bottom w:val="single" w:color="auto" w:sz="4" w:space="0"/>
              <w:right w:val="single" w:color="auto" w:sz="4" w:space="0"/>
            </w:tcBorders>
            <w:shd w:val="clear" w:color="auto" w:fill="auto"/>
            <w:vAlign w:val="center"/>
          </w:tcPr>
          <w:p w14:paraId="49369348">
            <w:pPr>
              <w:keepNext w:val="0"/>
              <w:keepLines w:val="0"/>
              <w:pageBreakBefore w:val="0"/>
              <w:widowControl w:val="0"/>
              <w:kinsoku/>
              <w:wordWrap/>
              <w:overflowPunct/>
              <w:topLinePunct w:val="0"/>
              <w:autoSpaceDE/>
              <w:autoSpaceDN/>
              <w:bidi w:val="0"/>
              <w:adjustRightInd/>
              <w:snapToGrid/>
              <w:ind w:left="0" w:firstLine="0" w:firstLineChars="0"/>
              <w:jc w:val="center"/>
              <w:textAlignment w:val="auto"/>
              <w:rPr>
                <w:rFonts w:hint="eastAsia" w:ascii="仿宋_GB2312" w:hAnsi="仿宋_GB2312" w:eastAsia="仿宋_GB2312" w:cs="仿宋_GB2312"/>
                <w:sz w:val="24"/>
                <w:lang w:val="en-US" w:eastAsia="zh-CN" w:bidi="ar"/>
              </w:rPr>
            </w:pPr>
            <w:r>
              <w:rPr>
                <w:rFonts w:hint="eastAsia" w:ascii="仿宋_GB2312" w:hAnsi="仿宋_GB2312" w:eastAsia="仿宋_GB2312" w:cs="仿宋_GB2312"/>
                <w:sz w:val="24"/>
                <w:lang w:bidi="ar"/>
              </w:rPr>
              <w:t>广西壮族自治区防震减灾和紧急救援办公室</w:t>
            </w:r>
          </w:p>
        </w:tc>
        <w:tc>
          <w:tcPr>
            <w:tcW w:w="1539" w:type="pct"/>
            <w:tcBorders>
              <w:top w:val="single" w:color="auto" w:sz="4" w:space="0"/>
              <w:left w:val="single" w:color="auto" w:sz="4" w:space="0"/>
              <w:bottom w:val="single" w:color="auto" w:sz="4" w:space="0"/>
              <w:right w:val="single" w:color="auto" w:sz="4" w:space="0"/>
            </w:tcBorders>
            <w:vAlign w:val="center"/>
          </w:tcPr>
          <w:p w14:paraId="44940BC1">
            <w:pPr>
              <w:keepNext w:val="0"/>
              <w:keepLines w:val="0"/>
              <w:pageBreakBefore w:val="0"/>
              <w:widowControl w:val="0"/>
              <w:kinsoku/>
              <w:wordWrap/>
              <w:overflowPunct/>
              <w:topLinePunct w:val="0"/>
              <w:autoSpaceDE/>
              <w:autoSpaceDN/>
              <w:bidi w:val="0"/>
              <w:adjustRightInd/>
              <w:snapToGrid/>
              <w:ind w:left="0" w:firstLine="0" w:firstLineChars="0"/>
              <w:jc w:val="center"/>
              <w:textAlignment w:val="auto"/>
              <w:rPr>
                <w:rFonts w:hint="eastAsia" w:ascii="仿宋_GB2312" w:hAnsi="仿宋_GB2312" w:eastAsia="仿宋_GB2312" w:cs="仿宋_GB2312"/>
                <w:sz w:val="24"/>
                <w:lang w:bidi="ar"/>
              </w:rPr>
            </w:pPr>
            <w:r>
              <w:rPr>
                <w:rFonts w:hint="eastAsia" w:ascii="仿宋_GB2312" w:hAnsi="仿宋_GB2312" w:eastAsia="仿宋_GB2312" w:cs="仿宋_GB2312"/>
                <w:sz w:val="24"/>
                <w:lang w:bidi="ar"/>
              </w:rPr>
              <w:t>参与标准编制工作，组织人员进行标准发布后的宣贯培训。</w:t>
            </w:r>
          </w:p>
        </w:tc>
      </w:tr>
      <w:tr w14:paraId="11505763">
        <w:tblPrEx>
          <w:tblCellMar>
            <w:top w:w="0" w:type="dxa"/>
            <w:left w:w="108" w:type="dxa"/>
            <w:bottom w:w="0" w:type="dxa"/>
            <w:right w:w="108" w:type="dxa"/>
          </w:tblCellMar>
        </w:tblPrEx>
        <w:trPr>
          <w:cantSplit/>
          <w:trHeight w:val="732" w:hRule="atLeast"/>
        </w:trPr>
        <w:tc>
          <w:tcPr>
            <w:tcW w:w="597" w:type="pct"/>
            <w:tcBorders>
              <w:top w:val="single" w:color="auto" w:sz="4" w:space="0"/>
              <w:left w:val="single" w:color="auto" w:sz="4" w:space="0"/>
              <w:bottom w:val="single" w:color="auto" w:sz="4" w:space="0"/>
              <w:right w:val="single" w:color="008000" w:sz="4" w:space="0"/>
            </w:tcBorders>
            <w:shd w:val="clear" w:color="auto" w:fill="auto"/>
            <w:vAlign w:val="center"/>
          </w:tcPr>
          <w:p w14:paraId="5A944809">
            <w:pPr>
              <w:keepNext w:val="0"/>
              <w:keepLines w:val="0"/>
              <w:pageBreakBefore w:val="0"/>
              <w:widowControl w:val="0"/>
              <w:kinsoku/>
              <w:wordWrap/>
              <w:overflowPunct/>
              <w:topLinePunct w:val="0"/>
              <w:autoSpaceDE/>
              <w:autoSpaceDN/>
              <w:bidi w:val="0"/>
              <w:adjustRightInd/>
              <w:snapToGrid/>
              <w:ind w:left="0" w:firstLine="0" w:firstLineChars="0"/>
              <w:jc w:val="center"/>
              <w:textAlignment w:val="auto"/>
              <w:rPr>
                <w:rFonts w:hint="eastAsia" w:ascii="仿宋_GB2312" w:hAnsi="仿宋_GB2312" w:eastAsia="仿宋_GB2312" w:cs="仿宋_GB2312"/>
                <w:sz w:val="24"/>
                <w:lang w:val="en-US" w:eastAsia="zh-CN" w:bidi="ar"/>
              </w:rPr>
            </w:pPr>
            <w:r>
              <w:rPr>
                <w:rFonts w:hint="eastAsia" w:ascii="仿宋_GB2312" w:hAnsi="仿宋_GB2312" w:eastAsia="仿宋_GB2312" w:cs="仿宋_GB2312"/>
                <w:sz w:val="24"/>
                <w:lang w:bidi="ar"/>
              </w:rPr>
              <w:t>钟德伟</w:t>
            </w:r>
          </w:p>
        </w:tc>
        <w:tc>
          <w:tcPr>
            <w:tcW w:w="597" w:type="pct"/>
            <w:tcBorders>
              <w:top w:val="single" w:color="auto" w:sz="4" w:space="0"/>
              <w:left w:val="single" w:color="auto" w:sz="4" w:space="0"/>
              <w:bottom w:val="single" w:color="auto" w:sz="4" w:space="0"/>
              <w:right w:val="single" w:color="auto" w:sz="4" w:space="0"/>
            </w:tcBorders>
            <w:shd w:val="clear" w:color="auto" w:fill="auto"/>
            <w:vAlign w:val="center"/>
          </w:tcPr>
          <w:p w14:paraId="39086FE8">
            <w:pPr>
              <w:keepNext w:val="0"/>
              <w:keepLines w:val="0"/>
              <w:pageBreakBefore w:val="0"/>
              <w:widowControl w:val="0"/>
              <w:kinsoku/>
              <w:wordWrap/>
              <w:overflowPunct/>
              <w:topLinePunct w:val="0"/>
              <w:autoSpaceDE/>
              <w:autoSpaceDN/>
              <w:bidi w:val="0"/>
              <w:adjustRightInd/>
              <w:snapToGrid/>
              <w:ind w:left="0" w:firstLine="0" w:firstLineChars="0"/>
              <w:jc w:val="center"/>
              <w:textAlignment w:val="auto"/>
              <w:rPr>
                <w:rFonts w:hint="eastAsia" w:ascii="仿宋_GB2312" w:hAnsi="仿宋_GB2312" w:eastAsia="仿宋_GB2312" w:cs="仿宋_GB2312"/>
                <w:sz w:val="24"/>
                <w:lang w:val="en-US" w:eastAsia="zh-CN" w:bidi="ar"/>
              </w:rPr>
            </w:pPr>
            <w:r>
              <w:rPr>
                <w:rFonts w:hint="eastAsia" w:ascii="仿宋_GB2312" w:hAnsi="仿宋_GB2312" w:eastAsia="仿宋_GB2312" w:cs="仿宋_GB2312"/>
                <w:sz w:val="24"/>
                <w:lang w:bidi="ar"/>
              </w:rPr>
              <w:t>工程师</w:t>
            </w:r>
          </w:p>
        </w:tc>
        <w:tc>
          <w:tcPr>
            <w:tcW w:w="727" w:type="pct"/>
            <w:tcBorders>
              <w:top w:val="single" w:color="000000" w:sz="2" w:space="0"/>
              <w:left w:val="single" w:color="auto" w:sz="4" w:space="0"/>
              <w:bottom w:val="single" w:color="auto" w:sz="4" w:space="0"/>
              <w:right w:val="single" w:color="auto" w:sz="4" w:space="0"/>
            </w:tcBorders>
            <w:shd w:val="clear" w:color="auto" w:fill="auto"/>
            <w:vAlign w:val="center"/>
          </w:tcPr>
          <w:p w14:paraId="0C41CDBA">
            <w:pPr>
              <w:keepNext w:val="0"/>
              <w:keepLines w:val="0"/>
              <w:pageBreakBefore w:val="0"/>
              <w:widowControl w:val="0"/>
              <w:kinsoku/>
              <w:wordWrap/>
              <w:overflowPunct/>
              <w:topLinePunct w:val="0"/>
              <w:autoSpaceDE/>
              <w:autoSpaceDN/>
              <w:bidi w:val="0"/>
              <w:adjustRightInd/>
              <w:snapToGrid/>
              <w:ind w:left="0" w:firstLine="0" w:firstLineChars="0"/>
              <w:jc w:val="center"/>
              <w:textAlignment w:val="auto"/>
              <w:rPr>
                <w:rFonts w:hint="eastAsia" w:ascii="仿宋_GB2312" w:hAnsi="仿宋_GB2312" w:eastAsia="仿宋_GB2312" w:cs="仿宋_GB2312"/>
                <w:sz w:val="24"/>
                <w:lang w:val="en-US" w:eastAsia="zh-CN" w:bidi="ar"/>
              </w:rPr>
            </w:pPr>
            <w:r>
              <w:rPr>
                <w:rFonts w:hint="eastAsia" w:ascii="仿宋_GB2312" w:hAnsi="仿宋_GB2312" w:eastAsia="仿宋_GB2312" w:cs="仿宋_GB2312"/>
                <w:sz w:val="24"/>
                <w:lang w:bidi="ar"/>
              </w:rPr>
              <w:t>工程地震</w:t>
            </w:r>
          </w:p>
        </w:tc>
        <w:tc>
          <w:tcPr>
            <w:tcW w:w="1539" w:type="pct"/>
            <w:tcBorders>
              <w:top w:val="single" w:color="auto" w:sz="4" w:space="0"/>
              <w:left w:val="single" w:color="auto" w:sz="4" w:space="0"/>
              <w:bottom w:val="single" w:color="auto" w:sz="4" w:space="0"/>
              <w:right w:val="single" w:color="auto" w:sz="4" w:space="0"/>
            </w:tcBorders>
            <w:shd w:val="clear" w:color="auto" w:fill="auto"/>
            <w:vAlign w:val="center"/>
          </w:tcPr>
          <w:p w14:paraId="5240A4E1">
            <w:pPr>
              <w:keepNext w:val="0"/>
              <w:keepLines w:val="0"/>
              <w:pageBreakBefore w:val="0"/>
              <w:widowControl w:val="0"/>
              <w:kinsoku/>
              <w:wordWrap/>
              <w:overflowPunct/>
              <w:topLinePunct w:val="0"/>
              <w:autoSpaceDE/>
              <w:autoSpaceDN/>
              <w:bidi w:val="0"/>
              <w:adjustRightInd/>
              <w:snapToGrid/>
              <w:ind w:left="0" w:firstLine="0" w:firstLineChars="0"/>
              <w:jc w:val="center"/>
              <w:textAlignment w:val="auto"/>
              <w:rPr>
                <w:rFonts w:hint="eastAsia" w:ascii="仿宋_GB2312" w:hAnsi="仿宋_GB2312" w:eastAsia="仿宋_GB2312" w:cs="仿宋_GB2312"/>
                <w:sz w:val="24"/>
                <w:lang w:val="en-US" w:eastAsia="zh-CN" w:bidi="ar"/>
              </w:rPr>
            </w:pPr>
            <w:r>
              <w:rPr>
                <w:rFonts w:hint="eastAsia" w:ascii="仿宋_GB2312" w:hAnsi="仿宋_GB2312" w:eastAsia="仿宋_GB2312" w:cs="仿宋_GB2312"/>
                <w:sz w:val="24"/>
                <w:lang w:bidi="ar"/>
              </w:rPr>
              <w:t>广西壮族自治区防震减灾和紧急救援办公室</w:t>
            </w:r>
          </w:p>
        </w:tc>
        <w:tc>
          <w:tcPr>
            <w:tcW w:w="1539" w:type="pct"/>
            <w:tcBorders>
              <w:top w:val="single" w:color="auto" w:sz="4" w:space="0"/>
              <w:left w:val="single" w:color="auto" w:sz="4" w:space="0"/>
              <w:bottom w:val="single" w:color="auto" w:sz="4" w:space="0"/>
              <w:right w:val="single" w:color="auto" w:sz="4" w:space="0"/>
            </w:tcBorders>
            <w:vAlign w:val="center"/>
          </w:tcPr>
          <w:p w14:paraId="3A7E1D5C">
            <w:pPr>
              <w:keepNext w:val="0"/>
              <w:keepLines w:val="0"/>
              <w:pageBreakBefore w:val="0"/>
              <w:widowControl w:val="0"/>
              <w:kinsoku/>
              <w:wordWrap/>
              <w:overflowPunct/>
              <w:topLinePunct w:val="0"/>
              <w:autoSpaceDE/>
              <w:autoSpaceDN/>
              <w:bidi w:val="0"/>
              <w:adjustRightInd/>
              <w:snapToGrid/>
              <w:ind w:left="0" w:firstLine="0" w:firstLineChars="0"/>
              <w:jc w:val="center"/>
              <w:textAlignment w:val="auto"/>
              <w:rPr>
                <w:rFonts w:hint="eastAsia" w:ascii="仿宋_GB2312" w:hAnsi="仿宋_GB2312" w:eastAsia="仿宋_GB2312" w:cs="仿宋_GB2312"/>
                <w:sz w:val="24"/>
                <w:lang w:bidi="ar"/>
              </w:rPr>
            </w:pPr>
            <w:r>
              <w:rPr>
                <w:rFonts w:hint="eastAsia" w:ascii="仿宋_GB2312" w:hAnsi="仿宋_GB2312" w:eastAsia="仿宋_GB2312" w:cs="仿宋_GB2312"/>
                <w:sz w:val="24"/>
                <w:lang w:bidi="ar"/>
              </w:rPr>
              <w:t>参与标准文本及编制说明编写，质量控制。</w:t>
            </w:r>
          </w:p>
        </w:tc>
      </w:tr>
      <w:tr w14:paraId="74856E53">
        <w:tblPrEx>
          <w:tblCellMar>
            <w:top w:w="0" w:type="dxa"/>
            <w:left w:w="108" w:type="dxa"/>
            <w:bottom w:w="0" w:type="dxa"/>
            <w:right w:w="108" w:type="dxa"/>
          </w:tblCellMar>
        </w:tblPrEx>
        <w:trPr>
          <w:cantSplit/>
          <w:trHeight w:val="732" w:hRule="atLeast"/>
        </w:trPr>
        <w:tc>
          <w:tcPr>
            <w:tcW w:w="597" w:type="pct"/>
            <w:tcBorders>
              <w:top w:val="single" w:color="auto" w:sz="4" w:space="0"/>
              <w:left w:val="single" w:color="auto" w:sz="4" w:space="0"/>
              <w:bottom w:val="single" w:color="auto" w:sz="4" w:space="0"/>
              <w:right w:val="single" w:color="008000" w:sz="4" w:space="0"/>
            </w:tcBorders>
            <w:shd w:val="clear" w:color="auto" w:fill="auto"/>
            <w:vAlign w:val="center"/>
          </w:tcPr>
          <w:p w14:paraId="5B8DB269">
            <w:pPr>
              <w:keepNext w:val="0"/>
              <w:keepLines w:val="0"/>
              <w:pageBreakBefore w:val="0"/>
              <w:widowControl w:val="0"/>
              <w:kinsoku/>
              <w:wordWrap/>
              <w:overflowPunct/>
              <w:topLinePunct w:val="0"/>
              <w:autoSpaceDE/>
              <w:autoSpaceDN/>
              <w:bidi w:val="0"/>
              <w:adjustRightInd/>
              <w:snapToGrid/>
              <w:ind w:left="0" w:firstLine="0" w:firstLineChars="0"/>
              <w:jc w:val="center"/>
              <w:textAlignment w:val="auto"/>
              <w:rPr>
                <w:rFonts w:hint="eastAsia" w:ascii="仿宋_GB2312" w:hAnsi="仿宋_GB2312" w:eastAsia="仿宋_GB2312" w:cs="仿宋_GB2312"/>
                <w:sz w:val="24"/>
                <w:lang w:bidi="ar"/>
              </w:rPr>
            </w:pPr>
            <w:r>
              <w:rPr>
                <w:rFonts w:hint="eastAsia" w:ascii="仿宋_GB2312" w:hAnsi="仿宋_GB2312" w:eastAsia="仿宋_GB2312" w:cs="仿宋_GB2312"/>
                <w:sz w:val="24"/>
                <w:lang w:bidi="ar"/>
              </w:rPr>
              <w:t>史水平</w:t>
            </w:r>
          </w:p>
        </w:tc>
        <w:tc>
          <w:tcPr>
            <w:tcW w:w="597" w:type="pct"/>
            <w:tcBorders>
              <w:top w:val="single" w:color="auto" w:sz="4" w:space="0"/>
              <w:left w:val="single" w:color="auto" w:sz="4" w:space="0"/>
              <w:bottom w:val="single" w:color="auto" w:sz="4" w:space="0"/>
              <w:right w:val="single" w:color="auto" w:sz="4" w:space="0"/>
            </w:tcBorders>
            <w:shd w:val="clear" w:color="auto" w:fill="auto"/>
            <w:vAlign w:val="center"/>
          </w:tcPr>
          <w:p w14:paraId="691322BE">
            <w:pPr>
              <w:keepNext w:val="0"/>
              <w:keepLines w:val="0"/>
              <w:pageBreakBefore w:val="0"/>
              <w:widowControl w:val="0"/>
              <w:kinsoku/>
              <w:wordWrap/>
              <w:overflowPunct/>
              <w:topLinePunct w:val="0"/>
              <w:autoSpaceDE/>
              <w:autoSpaceDN/>
              <w:bidi w:val="0"/>
              <w:adjustRightInd/>
              <w:snapToGrid/>
              <w:ind w:left="0" w:firstLine="0" w:firstLineChars="0"/>
              <w:jc w:val="center"/>
              <w:textAlignment w:val="auto"/>
              <w:rPr>
                <w:rFonts w:hint="eastAsia" w:ascii="仿宋_GB2312" w:hAnsi="仿宋_GB2312" w:eastAsia="仿宋_GB2312" w:cs="仿宋_GB2312"/>
                <w:sz w:val="24"/>
                <w:lang w:bidi="ar"/>
              </w:rPr>
            </w:pPr>
            <w:r>
              <w:rPr>
                <w:rFonts w:hint="eastAsia" w:ascii="仿宋_GB2312" w:hAnsi="仿宋_GB2312" w:eastAsia="仿宋_GB2312" w:cs="仿宋_GB2312"/>
                <w:sz w:val="24"/>
                <w:lang w:val="en-US" w:eastAsia="zh-CN" w:bidi="ar"/>
              </w:rPr>
              <w:t>高级工程师</w:t>
            </w:r>
          </w:p>
        </w:tc>
        <w:tc>
          <w:tcPr>
            <w:tcW w:w="727" w:type="pct"/>
            <w:tcBorders>
              <w:top w:val="single" w:color="000000" w:sz="2" w:space="0"/>
              <w:left w:val="single" w:color="auto" w:sz="4" w:space="0"/>
              <w:bottom w:val="single" w:color="auto" w:sz="4" w:space="0"/>
              <w:right w:val="single" w:color="auto" w:sz="4" w:space="0"/>
            </w:tcBorders>
            <w:shd w:val="clear" w:color="auto" w:fill="auto"/>
            <w:vAlign w:val="center"/>
          </w:tcPr>
          <w:p w14:paraId="7A63F45F">
            <w:pPr>
              <w:keepNext w:val="0"/>
              <w:keepLines w:val="0"/>
              <w:pageBreakBefore w:val="0"/>
              <w:widowControl w:val="0"/>
              <w:kinsoku/>
              <w:wordWrap/>
              <w:overflowPunct/>
              <w:topLinePunct w:val="0"/>
              <w:autoSpaceDE/>
              <w:autoSpaceDN/>
              <w:bidi w:val="0"/>
              <w:adjustRightInd/>
              <w:snapToGrid/>
              <w:ind w:left="0" w:firstLine="0" w:firstLineChars="0"/>
              <w:jc w:val="center"/>
              <w:textAlignment w:val="auto"/>
              <w:rPr>
                <w:rFonts w:hint="eastAsia" w:ascii="仿宋_GB2312" w:hAnsi="仿宋_GB2312" w:eastAsia="仿宋_GB2312" w:cs="仿宋_GB2312"/>
                <w:sz w:val="24"/>
                <w:lang w:bidi="ar"/>
              </w:rPr>
            </w:pPr>
            <w:r>
              <w:rPr>
                <w:rFonts w:hint="eastAsia" w:ascii="仿宋_GB2312" w:hAnsi="仿宋_GB2312" w:eastAsia="仿宋_GB2312" w:cs="仿宋_GB2312"/>
                <w:sz w:val="24"/>
                <w:lang w:bidi="ar"/>
              </w:rPr>
              <w:t>工程地震</w:t>
            </w:r>
          </w:p>
        </w:tc>
        <w:tc>
          <w:tcPr>
            <w:tcW w:w="1539" w:type="pct"/>
            <w:tcBorders>
              <w:top w:val="single" w:color="auto" w:sz="4" w:space="0"/>
              <w:left w:val="single" w:color="auto" w:sz="4" w:space="0"/>
              <w:bottom w:val="single" w:color="auto" w:sz="4" w:space="0"/>
              <w:right w:val="single" w:color="auto" w:sz="4" w:space="0"/>
            </w:tcBorders>
            <w:shd w:val="clear" w:color="auto" w:fill="auto"/>
            <w:vAlign w:val="center"/>
          </w:tcPr>
          <w:p w14:paraId="197050C8">
            <w:pPr>
              <w:keepNext w:val="0"/>
              <w:keepLines w:val="0"/>
              <w:pageBreakBefore w:val="0"/>
              <w:widowControl w:val="0"/>
              <w:kinsoku/>
              <w:wordWrap/>
              <w:overflowPunct/>
              <w:topLinePunct w:val="0"/>
              <w:autoSpaceDE/>
              <w:autoSpaceDN/>
              <w:bidi w:val="0"/>
              <w:adjustRightInd/>
              <w:snapToGrid/>
              <w:ind w:left="0" w:firstLine="0" w:firstLineChars="0"/>
              <w:jc w:val="center"/>
              <w:textAlignment w:val="auto"/>
              <w:rPr>
                <w:rFonts w:hint="eastAsia" w:ascii="仿宋_GB2312" w:hAnsi="仿宋_GB2312" w:eastAsia="仿宋_GB2312" w:cs="仿宋_GB2312"/>
                <w:sz w:val="24"/>
                <w:lang w:bidi="ar"/>
              </w:rPr>
            </w:pPr>
            <w:r>
              <w:rPr>
                <w:rFonts w:hint="eastAsia" w:ascii="仿宋_GB2312" w:hAnsi="仿宋_GB2312" w:eastAsia="仿宋_GB2312" w:cs="仿宋_GB2312"/>
                <w:sz w:val="24"/>
                <w:lang w:val="en-US" w:eastAsia="zh-CN" w:bidi="ar"/>
              </w:rPr>
              <w:t>广西壮族自治区震灾风险防治中心</w:t>
            </w:r>
          </w:p>
        </w:tc>
        <w:tc>
          <w:tcPr>
            <w:tcW w:w="1539" w:type="pct"/>
            <w:tcBorders>
              <w:top w:val="single" w:color="auto" w:sz="4" w:space="0"/>
              <w:left w:val="single" w:color="auto" w:sz="4" w:space="0"/>
              <w:bottom w:val="single" w:color="auto" w:sz="4" w:space="0"/>
              <w:right w:val="single" w:color="auto" w:sz="4" w:space="0"/>
            </w:tcBorders>
            <w:vAlign w:val="center"/>
          </w:tcPr>
          <w:p w14:paraId="1052815B">
            <w:pPr>
              <w:keepNext w:val="0"/>
              <w:keepLines w:val="0"/>
              <w:pageBreakBefore w:val="0"/>
              <w:widowControl w:val="0"/>
              <w:kinsoku/>
              <w:wordWrap/>
              <w:overflowPunct/>
              <w:topLinePunct w:val="0"/>
              <w:autoSpaceDE/>
              <w:autoSpaceDN/>
              <w:bidi w:val="0"/>
              <w:adjustRightInd/>
              <w:snapToGrid/>
              <w:ind w:left="0" w:firstLine="0" w:firstLineChars="0"/>
              <w:jc w:val="center"/>
              <w:textAlignment w:val="auto"/>
              <w:rPr>
                <w:rFonts w:hint="eastAsia" w:ascii="仿宋_GB2312" w:hAnsi="仿宋_GB2312" w:eastAsia="仿宋_GB2312" w:cs="仿宋_GB2312"/>
                <w:sz w:val="24"/>
                <w:lang w:bidi="ar"/>
              </w:rPr>
            </w:pPr>
            <w:r>
              <w:rPr>
                <w:rFonts w:hint="eastAsia" w:ascii="仿宋_GB2312" w:hAnsi="仿宋_GB2312" w:eastAsia="仿宋_GB2312" w:cs="仿宋_GB2312"/>
                <w:sz w:val="24"/>
                <w:lang w:bidi="ar"/>
              </w:rPr>
              <w:t>参与标准文本及编制说明的编写;组织开展标准征求意见会;对标准实施情况进行总结分析，不断对标准提出修正意见。</w:t>
            </w:r>
          </w:p>
        </w:tc>
      </w:tr>
      <w:tr w14:paraId="5E68C512">
        <w:tblPrEx>
          <w:tblCellMar>
            <w:top w:w="0" w:type="dxa"/>
            <w:left w:w="108" w:type="dxa"/>
            <w:bottom w:w="0" w:type="dxa"/>
            <w:right w:w="108" w:type="dxa"/>
          </w:tblCellMar>
        </w:tblPrEx>
        <w:trPr>
          <w:cantSplit/>
          <w:trHeight w:val="732" w:hRule="atLeast"/>
        </w:trPr>
        <w:tc>
          <w:tcPr>
            <w:tcW w:w="597" w:type="pct"/>
            <w:tcBorders>
              <w:top w:val="single" w:color="auto" w:sz="4" w:space="0"/>
              <w:left w:val="single" w:color="auto" w:sz="4" w:space="0"/>
              <w:bottom w:val="single" w:color="auto" w:sz="4" w:space="0"/>
              <w:right w:val="single" w:color="008000" w:sz="4" w:space="0"/>
            </w:tcBorders>
            <w:shd w:val="clear" w:color="auto" w:fill="auto"/>
            <w:vAlign w:val="center"/>
          </w:tcPr>
          <w:p w14:paraId="56983B75">
            <w:pPr>
              <w:keepNext w:val="0"/>
              <w:keepLines w:val="0"/>
              <w:pageBreakBefore w:val="0"/>
              <w:widowControl w:val="0"/>
              <w:kinsoku/>
              <w:wordWrap/>
              <w:overflowPunct/>
              <w:topLinePunct w:val="0"/>
              <w:autoSpaceDE/>
              <w:autoSpaceDN/>
              <w:bidi w:val="0"/>
              <w:adjustRightInd/>
              <w:snapToGrid/>
              <w:ind w:left="0" w:firstLine="0" w:firstLineChars="0"/>
              <w:jc w:val="center"/>
              <w:textAlignment w:val="auto"/>
              <w:rPr>
                <w:rFonts w:hint="eastAsia" w:ascii="仿宋_GB2312" w:hAnsi="仿宋_GB2312" w:eastAsia="仿宋_GB2312" w:cs="仿宋_GB2312"/>
                <w:sz w:val="24"/>
                <w:lang w:bidi="ar"/>
              </w:rPr>
            </w:pPr>
            <w:r>
              <w:rPr>
                <w:rFonts w:hint="eastAsia" w:ascii="仿宋_GB2312" w:hAnsi="仿宋_GB2312" w:eastAsia="仿宋_GB2312" w:cs="仿宋_GB2312"/>
                <w:sz w:val="24"/>
                <w:lang w:bidi="ar"/>
              </w:rPr>
              <w:t>梁</w:t>
            </w:r>
            <w:r>
              <w:rPr>
                <w:rFonts w:hint="eastAsia" w:ascii="仿宋_GB2312" w:hAnsi="仿宋_GB2312" w:eastAsia="仿宋_GB2312" w:cs="仿宋_GB2312"/>
                <w:sz w:val="24"/>
                <w:lang w:val="en-US" w:eastAsia="zh-CN" w:bidi="ar"/>
              </w:rPr>
              <w:t xml:space="preserve">  </w:t>
            </w:r>
            <w:r>
              <w:rPr>
                <w:rFonts w:hint="eastAsia" w:ascii="仿宋_GB2312" w:hAnsi="仿宋_GB2312" w:eastAsia="仿宋_GB2312" w:cs="仿宋_GB2312"/>
                <w:sz w:val="24"/>
                <w:lang w:bidi="ar"/>
              </w:rPr>
              <w:t>结</w:t>
            </w:r>
          </w:p>
        </w:tc>
        <w:tc>
          <w:tcPr>
            <w:tcW w:w="597" w:type="pct"/>
            <w:tcBorders>
              <w:top w:val="single" w:color="auto" w:sz="4" w:space="0"/>
              <w:left w:val="single" w:color="auto" w:sz="4" w:space="0"/>
              <w:bottom w:val="single" w:color="auto" w:sz="4" w:space="0"/>
              <w:right w:val="single" w:color="auto" w:sz="4" w:space="0"/>
            </w:tcBorders>
            <w:shd w:val="clear" w:color="auto" w:fill="auto"/>
            <w:vAlign w:val="center"/>
          </w:tcPr>
          <w:p w14:paraId="3F8B39A1">
            <w:pPr>
              <w:keepNext w:val="0"/>
              <w:keepLines w:val="0"/>
              <w:pageBreakBefore w:val="0"/>
              <w:widowControl w:val="0"/>
              <w:kinsoku/>
              <w:wordWrap/>
              <w:overflowPunct/>
              <w:topLinePunct w:val="0"/>
              <w:autoSpaceDE/>
              <w:autoSpaceDN/>
              <w:bidi w:val="0"/>
              <w:adjustRightInd/>
              <w:snapToGrid/>
              <w:ind w:left="0" w:firstLine="0" w:firstLineChars="0"/>
              <w:jc w:val="center"/>
              <w:textAlignment w:val="auto"/>
              <w:rPr>
                <w:rFonts w:hint="eastAsia" w:ascii="仿宋_GB2312" w:hAnsi="仿宋_GB2312" w:eastAsia="仿宋_GB2312" w:cs="仿宋_GB2312"/>
                <w:sz w:val="24"/>
                <w:lang w:bidi="ar"/>
              </w:rPr>
            </w:pPr>
            <w:r>
              <w:rPr>
                <w:rFonts w:hint="eastAsia" w:ascii="仿宋_GB2312" w:hAnsi="仿宋_GB2312" w:eastAsia="仿宋_GB2312" w:cs="仿宋_GB2312"/>
                <w:sz w:val="24"/>
                <w:lang w:bidi="ar"/>
              </w:rPr>
              <w:t>工程师</w:t>
            </w:r>
          </w:p>
        </w:tc>
        <w:tc>
          <w:tcPr>
            <w:tcW w:w="727" w:type="pct"/>
            <w:tcBorders>
              <w:top w:val="single" w:color="000000" w:sz="2" w:space="0"/>
              <w:left w:val="single" w:color="auto" w:sz="4" w:space="0"/>
              <w:bottom w:val="single" w:color="auto" w:sz="4" w:space="0"/>
              <w:right w:val="single" w:color="auto" w:sz="4" w:space="0"/>
            </w:tcBorders>
            <w:shd w:val="clear" w:color="auto" w:fill="auto"/>
            <w:vAlign w:val="center"/>
          </w:tcPr>
          <w:p w14:paraId="5907D515">
            <w:pPr>
              <w:keepNext w:val="0"/>
              <w:keepLines w:val="0"/>
              <w:pageBreakBefore w:val="0"/>
              <w:widowControl w:val="0"/>
              <w:kinsoku/>
              <w:wordWrap/>
              <w:overflowPunct/>
              <w:topLinePunct w:val="0"/>
              <w:autoSpaceDE/>
              <w:autoSpaceDN/>
              <w:bidi w:val="0"/>
              <w:adjustRightInd/>
              <w:snapToGrid/>
              <w:ind w:left="0" w:firstLine="0" w:firstLineChars="0"/>
              <w:jc w:val="center"/>
              <w:textAlignment w:val="auto"/>
              <w:rPr>
                <w:rFonts w:hint="eastAsia" w:ascii="仿宋_GB2312" w:hAnsi="仿宋_GB2312" w:eastAsia="仿宋_GB2312" w:cs="仿宋_GB2312"/>
                <w:sz w:val="24"/>
                <w:lang w:bidi="ar"/>
              </w:rPr>
            </w:pPr>
            <w:r>
              <w:rPr>
                <w:rFonts w:hint="eastAsia" w:ascii="仿宋_GB2312" w:hAnsi="仿宋_GB2312" w:eastAsia="仿宋_GB2312" w:cs="仿宋_GB2312"/>
                <w:sz w:val="24"/>
                <w:lang w:bidi="ar"/>
              </w:rPr>
              <w:t>工程地震</w:t>
            </w:r>
          </w:p>
        </w:tc>
        <w:tc>
          <w:tcPr>
            <w:tcW w:w="1539" w:type="pct"/>
            <w:tcBorders>
              <w:top w:val="single" w:color="auto" w:sz="4" w:space="0"/>
              <w:left w:val="single" w:color="auto" w:sz="4" w:space="0"/>
              <w:bottom w:val="single" w:color="auto" w:sz="4" w:space="0"/>
              <w:right w:val="single" w:color="auto" w:sz="4" w:space="0"/>
            </w:tcBorders>
            <w:shd w:val="clear" w:color="auto" w:fill="auto"/>
            <w:vAlign w:val="center"/>
          </w:tcPr>
          <w:p w14:paraId="72FF1F33">
            <w:pPr>
              <w:keepNext w:val="0"/>
              <w:keepLines w:val="0"/>
              <w:pageBreakBefore w:val="0"/>
              <w:widowControl w:val="0"/>
              <w:kinsoku/>
              <w:wordWrap/>
              <w:overflowPunct/>
              <w:topLinePunct w:val="0"/>
              <w:autoSpaceDE/>
              <w:autoSpaceDN/>
              <w:bidi w:val="0"/>
              <w:adjustRightInd/>
              <w:snapToGrid/>
              <w:ind w:left="0" w:firstLine="0" w:firstLineChars="0"/>
              <w:jc w:val="center"/>
              <w:textAlignment w:val="auto"/>
              <w:rPr>
                <w:rFonts w:hint="eastAsia" w:ascii="仿宋_GB2312" w:hAnsi="仿宋_GB2312" w:eastAsia="仿宋_GB2312" w:cs="仿宋_GB2312"/>
                <w:sz w:val="24"/>
                <w:lang w:bidi="ar"/>
              </w:rPr>
            </w:pPr>
            <w:r>
              <w:rPr>
                <w:rFonts w:hint="eastAsia" w:ascii="仿宋_GB2312" w:hAnsi="仿宋_GB2312" w:eastAsia="仿宋_GB2312" w:cs="仿宋_GB2312"/>
                <w:sz w:val="24"/>
                <w:lang w:bidi="ar"/>
              </w:rPr>
              <w:t>广西壮族自治区震灾风险防治中心工程师</w:t>
            </w:r>
          </w:p>
        </w:tc>
        <w:tc>
          <w:tcPr>
            <w:tcW w:w="1539" w:type="pct"/>
            <w:tcBorders>
              <w:top w:val="single" w:color="auto" w:sz="4" w:space="0"/>
              <w:left w:val="single" w:color="auto" w:sz="4" w:space="0"/>
              <w:bottom w:val="single" w:color="auto" w:sz="4" w:space="0"/>
              <w:right w:val="single" w:color="auto" w:sz="4" w:space="0"/>
            </w:tcBorders>
            <w:vAlign w:val="center"/>
          </w:tcPr>
          <w:p w14:paraId="3FF73D98">
            <w:pPr>
              <w:keepNext w:val="0"/>
              <w:keepLines w:val="0"/>
              <w:pageBreakBefore w:val="0"/>
              <w:widowControl w:val="0"/>
              <w:kinsoku/>
              <w:wordWrap/>
              <w:overflowPunct/>
              <w:topLinePunct w:val="0"/>
              <w:autoSpaceDE/>
              <w:autoSpaceDN/>
              <w:bidi w:val="0"/>
              <w:adjustRightInd/>
              <w:snapToGrid/>
              <w:ind w:left="0" w:firstLine="0" w:firstLineChars="0"/>
              <w:jc w:val="center"/>
              <w:textAlignment w:val="auto"/>
              <w:rPr>
                <w:rFonts w:hint="eastAsia" w:ascii="仿宋_GB2312" w:hAnsi="仿宋_GB2312" w:eastAsia="仿宋_GB2312" w:cs="仿宋_GB2312"/>
                <w:sz w:val="24"/>
                <w:lang w:bidi="ar"/>
              </w:rPr>
            </w:pPr>
            <w:r>
              <w:rPr>
                <w:rFonts w:hint="eastAsia" w:ascii="仿宋_GB2312" w:hAnsi="仿宋_GB2312" w:eastAsia="仿宋_GB2312" w:cs="仿宋_GB2312"/>
                <w:sz w:val="24"/>
                <w:lang w:bidi="ar"/>
              </w:rPr>
              <w:t>参与标准文本及编制说明的编写;组织开展标准征求意见会;对标准实施情况进行总结分析，不断对标准提出修正意见。</w:t>
            </w:r>
          </w:p>
        </w:tc>
      </w:tr>
      <w:tr w14:paraId="7DC6B6FB">
        <w:tblPrEx>
          <w:tblCellMar>
            <w:top w:w="0" w:type="dxa"/>
            <w:left w:w="108" w:type="dxa"/>
            <w:bottom w:w="0" w:type="dxa"/>
            <w:right w:w="108" w:type="dxa"/>
          </w:tblCellMar>
        </w:tblPrEx>
        <w:trPr>
          <w:cantSplit/>
          <w:trHeight w:val="732" w:hRule="atLeast"/>
        </w:trPr>
        <w:tc>
          <w:tcPr>
            <w:tcW w:w="597" w:type="pct"/>
            <w:tcBorders>
              <w:top w:val="single" w:color="auto" w:sz="4" w:space="0"/>
              <w:left w:val="single" w:color="auto" w:sz="4" w:space="0"/>
              <w:bottom w:val="single" w:color="auto" w:sz="4" w:space="0"/>
              <w:right w:val="single" w:color="008000" w:sz="4" w:space="0"/>
            </w:tcBorders>
            <w:shd w:val="clear" w:color="auto" w:fill="auto"/>
            <w:vAlign w:val="center"/>
          </w:tcPr>
          <w:p w14:paraId="594E752C">
            <w:pPr>
              <w:keepNext w:val="0"/>
              <w:keepLines w:val="0"/>
              <w:pageBreakBefore w:val="0"/>
              <w:widowControl w:val="0"/>
              <w:kinsoku/>
              <w:wordWrap/>
              <w:overflowPunct/>
              <w:topLinePunct w:val="0"/>
              <w:autoSpaceDE/>
              <w:autoSpaceDN/>
              <w:bidi w:val="0"/>
              <w:adjustRightInd/>
              <w:snapToGrid/>
              <w:ind w:left="0" w:firstLine="0" w:firstLineChars="0"/>
              <w:jc w:val="center"/>
              <w:textAlignment w:val="auto"/>
              <w:rPr>
                <w:rFonts w:hint="eastAsia" w:ascii="仿宋_GB2312" w:hAnsi="仿宋_GB2312" w:eastAsia="仿宋_GB2312" w:cs="仿宋_GB2312"/>
                <w:sz w:val="24"/>
                <w:lang w:val="en-US" w:eastAsia="zh-CN" w:bidi="ar"/>
              </w:rPr>
            </w:pPr>
            <w:r>
              <w:rPr>
                <w:rFonts w:hint="eastAsia" w:ascii="仿宋_GB2312" w:hAnsi="仿宋_GB2312" w:eastAsia="仿宋_GB2312" w:cs="仿宋_GB2312"/>
                <w:sz w:val="24"/>
                <w:lang w:bidi="ar"/>
              </w:rPr>
              <w:t>周军学</w:t>
            </w:r>
          </w:p>
        </w:tc>
        <w:tc>
          <w:tcPr>
            <w:tcW w:w="597" w:type="pct"/>
            <w:tcBorders>
              <w:top w:val="single" w:color="auto" w:sz="4" w:space="0"/>
              <w:left w:val="single" w:color="auto" w:sz="4" w:space="0"/>
              <w:bottom w:val="single" w:color="auto" w:sz="4" w:space="0"/>
              <w:right w:val="single" w:color="auto" w:sz="4" w:space="0"/>
            </w:tcBorders>
            <w:shd w:val="clear" w:color="auto" w:fill="auto"/>
            <w:vAlign w:val="center"/>
          </w:tcPr>
          <w:p w14:paraId="42A83469">
            <w:pPr>
              <w:keepNext w:val="0"/>
              <w:keepLines w:val="0"/>
              <w:pageBreakBefore w:val="0"/>
              <w:widowControl w:val="0"/>
              <w:kinsoku/>
              <w:wordWrap/>
              <w:overflowPunct/>
              <w:topLinePunct w:val="0"/>
              <w:autoSpaceDE/>
              <w:autoSpaceDN/>
              <w:bidi w:val="0"/>
              <w:adjustRightInd/>
              <w:snapToGrid/>
              <w:ind w:left="0" w:firstLine="0" w:firstLineChars="0"/>
              <w:jc w:val="center"/>
              <w:textAlignment w:val="auto"/>
              <w:rPr>
                <w:rFonts w:hint="eastAsia" w:ascii="仿宋_GB2312" w:hAnsi="仿宋_GB2312" w:eastAsia="仿宋_GB2312" w:cs="仿宋_GB2312"/>
                <w:sz w:val="24"/>
                <w:lang w:val="en-US" w:eastAsia="zh-CN" w:bidi="ar"/>
              </w:rPr>
            </w:pPr>
            <w:r>
              <w:rPr>
                <w:rFonts w:hint="eastAsia" w:ascii="仿宋_GB2312" w:hAnsi="仿宋_GB2312" w:eastAsia="仿宋_GB2312" w:cs="仿宋_GB2312"/>
                <w:sz w:val="24"/>
                <w:lang w:bidi="ar"/>
              </w:rPr>
              <w:t>副处</w:t>
            </w:r>
          </w:p>
        </w:tc>
        <w:tc>
          <w:tcPr>
            <w:tcW w:w="727" w:type="pct"/>
            <w:tcBorders>
              <w:top w:val="single" w:color="000000" w:sz="2" w:space="0"/>
              <w:left w:val="single" w:color="auto" w:sz="4" w:space="0"/>
              <w:bottom w:val="single" w:color="auto" w:sz="4" w:space="0"/>
              <w:right w:val="single" w:color="auto" w:sz="4" w:space="0"/>
            </w:tcBorders>
            <w:shd w:val="clear" w:color="auto" w:fill="auto"/>
            <w:vAlign w:val="center"/>
          </w:tcPr>
          <w:p w14:paraId="0E225A7E">
            <w:pPr>
              <w:keepNext w:val="0"/>
              <w:keepLines w:val="0"/>
              <w:pageBreakBefore w:val="0"/>
              <w:widowControl w:val="0"/>
              <w:kinsoku/>
              <w:wordWrap/>
              <w:overflowPunct/>
              <w:topLinePunct w:val="0"/>
              <w:autoSpaceDE/>
              <w:autoSpaceDN/>
              <w:bidi w:val="0"/>
              <w:adjustRightInd/>
              <w:snapToGrid/>
              <w:ind w:left="0" w:firstLine="0" w:firstLineChars="0"/>
              <w:jc w:val="center"/>
              <w:textAlignment w:val="auto"/>
              <w:rPr>
                <w:rFonts w:hint="eastAsia" w:ascii="仿宋_GB2312" w:hAnsi="仿宋_GB2312" w:eastAsia="仿宋_GB2312" w:cs="仿宋_GB2312"/>
                <w:sz w:val="24"/>
                <w:lang w:val="en-US" w:eastAsia="zh-CN" w:bidi="ar"/>
              </w:rPr>
            </w:pPr>
            <w:r>
              <w:rPr>
                <w:rFonts w:hint="eastAsia" w:ascii="仿宋_GB2312" w:hAnsi="仿宋_GB2312" w:eastAsia="仿宋_GB2312" w:cs="仿宋_GB2312"/>
                <w:sz w:val="24"/>
                <w:lang w:bidi="ar"/>
              </w:rPr>
              <w:t>工程地震</w:t>
            </w:r>
          </w:p>
        </w:tc>
        <w:tc>
          <w:tcPr>
            <w:tcW w:w="1539" w:type="pct"/>
            <w:tcBorders>
              <w:top w:val="single" w:color="auto" w:sz="4" w:space="0"/>
              <w:left w:val="single" w:color="auto" w:sz="4" w:space="0"/>
              <w:bottom w:val="single" w:color="auto" w:sz="4" w:space="0"/>
              <w:right w:val="single" w:color="auto" w:sz="4" w:space="0"/>
            </w:tcBorders>
            <w:shd w:val="clear" w:color="auto" w:fill="auto"/>
            <w:vAlign w:val="center"/>
          </w:tcPr>
          <w:p w14:paraId="7DC237B5">
            <w:pPr>
              <w:keepNext w:val="0"/>
              <w:keepLines w:val="0"/>
              <w:pageBreakBefore w:val="0"/>
              <w:widowControl w:val="0"/>
              <w:kinsoku/>
              <w:wordWrap/>
              <w:overflowPunct/>
              <w:topLinePunct w:val="0"/>
              <w:autoSpaceDE/>
              <w:autoSpaceDN/>
              <w:bidi w:val="0"/>
              <w:adjustRightInd/>
              <w:snapToGrid/>
              <w:ind w:left="0" w:firstLine="0" w:firstLineChars="0"/>
              <w:jc w:val="center"/>
              <w:textAlignment w:val="auto"/>
              <w:rPr>
                <w:rFonts w:hint="eastAsia" w:ascii="仿宋_GB2312" w:hAnsi="仿宋_GB2312" w:eastAsia="仿宋_GB2312" w:cs="仿宋_GB2312"/>
                <w:sz w:val="24"/>
                <w:lang w:val="en-US" w:eastAsia="zh-CN" w:bidi="ar"/>
              </w:rPr>
            </w:pPr>
            <w:r>
              <w:rPr>
                <w:rFonts w:hint="eastAsia" w:ascii="仿宋_GB2312" w:hAnsi="仿宋_GB2312" w:eastAsia="仿宋_GB2312" w:cs="仿宋_GB2312"/>
                <w:sz w:val="24"/>
                <w:lang w:bidi="ar"/>
              </w:rPr>
              <w:t>广西壮族自治区地震局</w:t>
            </w:r>
          </w:p>
        </w:tc>
        <w:tc>
          <w:tcPr>
            <w:tcW w:w="1539" w:type="pct"/>
            <w:tcBorders>
              <w:top w:val="single" w:color="auto" w:sz="4" w:space="0"/>
              <w:left w:val="single" w:color="auto" w:sz="4" w:space="0"/>
              <w:bottom w:val="single" w:color="auto" w:sz="4" w:space="0"/>
              <w:right w:val="single" w:color="auto" w:sz="4" w:space="0"/>
            </w:tcBorders>
            <w:vAlign w:val="center"/>
          </w:tcPr>
          <w:p w14:paraId="6B118B32">
            <w:pPr>
              <w:keepNext w:val="0"/>
              <w:keepLines w:val="0"/>
              <w:pageBreakBefore w:val="0"/>
              <w:widowControl w:val="0"/>
              <w:kinsoku/>
              <w:wordWrap/>
              <w:overflowPunct/>
              <w:topLinePunct w:val="0"/>
              <w:autoSpaceDE/>
              <w:autoSpaceDN/>
              <w:bidi w:val="0"/>
              <w:adjustRightInd/>
              <w:snapToGrid/>
              <w:ind w:left="0" w:firstLine="0" w:firstLineChars="0"/>
              <w:jc w:val="center"/>
              <w:textAlignment w:val="auto"/>
              <w:rPr>
                <w:rFonts w:hint="eastAsia" w:ascii="仿宋_GB2312" w:hAnsi="仿宋_GB2312" w:eastAsia="仿宋_GB2312" w:cs="仿宋_GB2312"/>
                <w:sz w:val="24"/>
                <w:lang w:bidi="ar"/>
              </w:rPr>
            </w:pPr>
            <w:r>
              <w:rPr>
                <w:rFonts w:hint="eastAsia" w:ascii="仿宋_GB2312" w:hAnsi="仿宋_GB2312" w:eastAsia="仿宋_GB2312" w:cs="仿宋_GB2312"/>
                <w:sz w:val="24"/>
                <w:lang w:bidi="ar"/>
              </w:rPr>
              <w:t>参与标准文本及编制说明的编写;组织开展标准征求意见会;对标准实施情况进行总结分析，不断对标准提出修正意见。</w:t>
            </w:r>
          </w:p>
        </w:tc>
      </w:tr>
      <w:tr w14:paraId="6E315778">
        <w:tblPrEx>
          <w:tblCellMar>
            <w:top w:w="0" w:type="dxa"/>
            <w:left w:w="108" w:type="dxa"/>
            <w:bottom w:w="0" w:type="dxa"/>
            <w:right w:w="108" w:type="dxa"/>
          </w:tblCellMar>
        </w:tblPrEx>
        <w:trPr>
          <w:cantSplit/>
          <w:trHeight w:val="732" w:hRule="atLeast"/>
        </w:trPr>
        <w:tc>
          <w:tcPr>
            <w:tcW w:w="597" w:type="pct"/>
            <w:tcBorders>
              <w:top w:val="single" w:color="auto" w:sz="4" w:space="0"/>
              <w:left w:val="single" w:color="auto" w:sz="4" w:space="0"/>
              <w:bottom w:val="single" w:color="auto" w:sz="4" w:space="0"/>
              <w:right w:val="single" w:color="008000" w:sz="4" w:space="0"/>
            </w:tcBorders>
            <w:shd w:val="clear" w:color="auto" w:fill="auto"/>
            <w:vAlign w:val="center"/>
          </w:tcPr>
          <w:p w14:paraId="0798AC84">
            <w:pPr>
              <w:keepNext w:val="0"/>
              <w:keepLines w:val="0"/>
              <w:pageBreakBefore w:val="0"/>
              <w:widowControl w:val="0"/>
              <w:kinsoku/>
              <w:wordWrap/>
              <w:overflowPunct/>
              <w:topLinePunct w:val="0"/>
              <w:autoSpaceDE/>
              <w:autoSpaceDN/>
              <w:bidi w:val="0"/>
              <w:adjustRightInd/>
              <w:snapToGrid/>
              <w:ind w:left="0" w:firstLine="0" w:firstLineChars="0"/>
              <w:jc w:val="center"/>
              <w:textAlignment w:val="auto"/>
              <w:rPr>
                <w:rFonts w:hint="eastAsia" w:ascii="仿宋_GB2312" w:hAnsi="仿宋_GB2312" w:eastAsia="仿宋_GB2312" w:cs="仿宋_GB2312"/>
                <w:sz w:val="24"/>
                <w:lang w:val="en-US" w:eastAsia="zh-CN" w:bidi="ar"/>
              </w:rPr>
            </w:pPr>
            <w:r>
              <w:rPr>
                <w:rFonts w:hint="eastAsia" w:ascii="仿宋_GB2312" w:hAnsi="仿宋_GB2312" w:eastAsia="仿宋_GB2312" w:cs="仿宋_GB2312"/>
                <w:sz w:val="24"/>
                <w:lang w:bidi="ar"/>
              </w:rPr>
              <w:t>张忠利</w:t>
            </w:r>
          </w:p>
        </w:tc>
        <w:tc>
          <w:tcPr>
            <w:tcW w:w="597" w:type="pct"/>
            <w:tcBorders>
              <w:top w:val="single" w:color="auto" w:sz="4" w:space="0"/>
              <w:left w:val="single" w:color="auto" w:sz="4" w:space="0"/>
              <w:bottom w:val="single" w:color="auto" w:sz="4" w:space="0"/>
              <w:right w:val="single" w:color="auto" w:sz="4" w:space="0"/>
            </w:tcBorders>
            <w:shd w:val="clear" w:color="auto" w:fill="auto"/>
            <w:vAlign w:val="center"/>
          </w:tcPr>
          <w:p w14:paraId="51989761">
            <w:pPr>
              <w:keepNext w:val="0"/>
              <w:keepLines w:val="0"/>
              <w:pageBreakBefore w:val="0"/>
              <w:widowControl w:val="0"/>
              <w:kinsoku/>
              <w:wordWrap/>
              <w:overflowPunct/>
              <w:topLinePunct w:val="0"/>
              <w:autoSpaceDE/>
              <w:autoSpaceDN/>
              <w:bidi w:val="0"/>
              <w:adjustRightInd/>
              <w:snapToGrid/>
              <w:ind w:left="0" w:firstLine="0" w:firstLineChars="0"/>
              <w:jc w:val="center"/>
              <w:textAlignment w:val="auto"/>
              <w:rPr>
                <w:rFonts w:hint="eastAsia" w:ascii="仿宋_GB2312" w:hAnsi="仿宋_GB2312" w:eastAsia="仿宋_GB2312" w:cs="仿宋_GB2312"/>
                <w:sz w:val="24"/>
                <w:lang w:val="en-US" w:eastAsia="zh-CN" w:bidi="ar"/>
              </w:rPr>
            </w:pPr>
            <w:r>
              <w:rPr>
                <w:rFonts w:hint="eastAsia" w:ascii="仿宋_GB2312" w:hAnsi="仿宋_GB2312" w:eastAsia="仿宋_GB2312" w:cs="仿宋_GB2312"/>
                <w:sz w:val="24"/>
                <w:lang w:bidi="ar"/>
              </w:rPr>
              <w:t>高级工程师</w:t>
            </w:r>
          </w:p>
        </w:tc>
        <w:tc>
          <w:tcPr>
            <w:tcW w:w="727" w:type="pct"/>
            <w:tcBorders>
              <w:top w:val="single" w:color="000000" w:sz="2" w:space="0"/>
              <w:left w:val="single" w:color="auto" w:sz="4" w:space="0"/>
              <w:bottom w:val="single" w:color="auto" w:sz="4" w:space="0"/>
              <w:right w:val="single" w:color="auto" w:sz="4" w:space="0"/>
            </w:tcBorders>
            <w:shd w:val="clear" w:color="auto" w:fill="auto"/>
            <w:vAlign w:val="center"/>
          </w:tcPr>
          <w:p w14:paraId="093A4CD6">
            <w:pPr>
              <w:keepNext w:val="0"/>
              <w:keepLines w:val="0"/>
              <w:pageBreakBefore w:val="0"/>
              <w:widowControl w:val="0"/>
              <w:kinsoku/>
              <w:wordWrap/>
              <w:overflowPunct/>
              <w:topLinePunct w:val="0"/>
              <w:autoSpaceDE/>
              <w:autoSpaceDN/>
              <w:bidi w:val="0"/>
              <w:adjustRightInd/>
              <w:snapToGrid/>
              <w:ind w:left="0" w:firstLine="0" w:firstLineChars="0"/>
              <w:jc w:val="center"/>
              <w:textAlignment w:val="auto"/>
              <w:rPr>
                <w:rFonts w:hint="eastAsia" w:ascii="仿宋_GB2312" w:hAnsi="仿宋_GB2312" w:eastAsia="仿宋_GB2312" w:cs="仿宋_GB2312"/>
                <w:sz w:val="24"/>
                <w:lang w:val="en-US" w:eastAsia="zh-CN" w:bidi="ar"/>
              </w:rPr>
            </w:pPr>
            <w:r>
              <w:rPr>
                <w:rFonts w:hint="eastAsia" w:ascii="仿宋_GB2312" w:hAnsi="仿宋_GB2312" w:eastAsia="仿宋_GB2312" w:cs="仿宋_GB2312"/>
                <w:sz w:val="24"/>
                <w:lang w:bidi="ar"/>
              </w:rPr>
              <w:t>工程地震</w:t>
            </w:r>
          </w:p>
        </w:tc>
        <w:tc>
          <w:tcPr>
            <w:tcW w:w="1539" w:type="pct"/>
            <w:tcBorders>
              <w:top w:val="single" w:color="auto" w:sz="4" w:space="0"/>
              <w:left w:val="single" w:color="auto" w:sz="4" w:space="0"/>
              <w:bottom w:val="single" w:color="auto" w:sz="4" w:space="0"/>
              <w:right w:val="single" w:color="auto" w:sz="4" w:space="0"/>
            </w:tcBorders>
            <w:shd w:val="clear" w:color="auto" w:fill="auto"/>
            <w:vAlign w:val="center"/>
          </w:tcPr>
          <w:p w14:paraId="57FFF1ED">
            <w:pPr>
              <w:keepNext w:val="0"/>
              <w:keepLines w:val="0"/>
              <w:pageBreakBefore w:val="0"/>
              <w:widowControl w:val="0"/>
              <w:kinsoku/>
              <w:wordWrap/>
              <w:overflowPunct/>
              <w:topLinePunct w:val="0"/>
              <w:autoSpaceDE/>
              <w:autoSpaceDN/>
              <w:bidi w:val="0"/>
              <w:adjustRightInd/>
              <w:snapToGrid/>
              <w:ind w:left="0" w:firstLine="0" w:firstLineChars="0"/>
              <w:jc w:val="center"/>
              <w:textAlignment w:val="auto"/>
              <w:rPr>
                <w:rFonts w:hint="eastAsia" w:ascii="仿宋_GB2312" w:hAnsi="仿宋_GB2312" w:eastAsia="仿宋_GB2312" w:cs="仿宋_GB2312"/>
                <w:sz w:val="24"/>
                <w:lang w:val="en-US" w:eastAsia="zh-CN" w:bidi="ar"/>
              </w:rPr>
            </w:pPr>
            <w:r>
              <w:rPr>
                <w:rFonts w:hint="eastAsia" w:ascii="仿宋_GB2312" w:hAnsi="仿宋_GB2312" w:eastAsia="仿宋_GB2312" w:cs="仿宋_GB2312"/>
                <w:sz w:val="24"/>
                <w:lang w:bidi="ar"/>
              </w:rPr>
              <w:t>广西壮族自治区震灾风险防治中心</w:t>
            </w:r>
          </w:p>
        </w:tc>
        <w:tc>
          <w:tcPr>
            <w:tcW w:w="1539" w:type="pct"/>
            <w:tcBorders>
              <w:top w:val="single" w:color="auto" w:sz="4" w:space="0"/>
              <w:left w:val="single" w:color="auto" w:sz="4" w:space="0"/>
              <w:bottom w:val="single" w:color="auto" w:sz="4" w:space="0"/>
              <w:right w:val="single" w:color="auto" w:sz="4" w:space="0"/>
            </w:tcBorders>
            <w:vAlign w:val="center"/>
          </w:tcPr>
          <w:p w14:paraId="508B2074">
            <w:pPr>
              <w:keepNext w:val="0"/>
              <w:keepLines w:val="0"/>
              <w:pageBreakBefore w:val="0"/>
              <w:widowControl w:val="0"/>
              <w:kinsoku/>
              <w:wordWrap/>
              <w:overflowPunct/>
              <w:topLinePunct w:val="0"/>
              <w:autoSpaceDE/>
              <w:autoSpaceDN/>
              <w:bidi w:val="0"/>
              <w:adjustRightInd/>
              <w:snapToGrid/>
              <w:ind w:left="0" w:firstLine="0" w:firstLineChars="0"/>
              <w:jc w:val="center"/>
              <w:textAlignment w:val="auto"/>
              <w:rPr>
                <w:rFonts w:hint="eastAsia" w:ascii="仿宋_GB2312" w:hAnsi="仿宋_GB2312" w:eastAsia="仿宋_GB2312" w:cs="仿宋_GB2312"/>
                <w:sz w:val="24"/>
                <w:lang w:bidi="ar"/>
              </w:rPr>
            </w:pPr>
            <w:r>
              <w:rPr>
                <w:rFonts w:hint="eastAsia" w:ascii="仿宋_GB2312" w:hAnsi="仿宋_GB2312" w:eastAsia="仿宋_GB2312" w:cs="仿宋_GB2312"/>
                <w:sz w:val="24"/>
                <w:lang w:bidi="ar"/>
              </w:rPr>
              <w:t>参与标准文本及编制说明的编写;组织开展标准征求意见会;对标准实施情况进行总结分析，不断对标准提出修正意见。</w:t>
            </w:r>
          </w:p>
        </w:tc>
      </w:tr>
      <w:tr w14:paraId="40A3D5A5">
        <w:tblPrEx>
          <w:tblCellMar>
            <w:top w:w="0" w:type="dxa"/>
            <w:left w:w="108" w:type="dxa"/>
            <w:bottom w:w="0" w:type="dxa"/>
            <w:right w:w="108" w:type="dxa"/>
          </w:tblCellMar>
        </w:tblPrEx>
        <w:trPr>
          <w:cantSplit/>
          <w:trHeight w:val="732" w:hRule="atLeast"/>
        </w:trPr>
        <w:tc>
          <w:tcPr>
            <w:tcW w:w="597" w:type="pct"/>
            <w:tcBorders>
              <w:top w:val="single" w:color="auto" w:sz="4" w:space="0"/>
              <w:left w:val="single" w:color="auto" w:sz="4" w:space="0"/>
              <w:bottom w:val="single" w:color="auto" w:sz="4" w:space="0"/>
              <w:right w:val="single" w:color="008000" w:sz="4" w:space="0"/>
            </w:tcBorders>
            <w:shd w:val="clear" w:color="auto" w:fill="auto"/>
            <w:vAlign w:val="center"/>
          </w:tcPr>
          <w:p w14:paraId="2F8F6480">
            <w:pPr>
              <w:keepNext w:val="0"/>
              <w:keepLines w:val="0"/>
              <w:pageBreakBefore w:val="0"/>
              <w:widowControl w:val="0"/>
              <w:kinsoku/>
              <w:wordWrap/>
              <w:overflowPunct/>
              <w:topLinePunct w:val="0"/>
              <w:autoSpaceDE/>
              <w:autoSpaceDN/>
              <w:bidi w:val="0"/>
              <w:adjustRightInd/>
              <w:snapToGrid/>
              <w:ind w:left="0" w:firstLine="0" w:firstLineChars="0"/>
              <w:jc w:val="center"/>
              <w:textAlignment w:val="auto"/>
              <w:rPr>
                <w:rFonts w:hint="eastAsia" w:ascii="仿宋_GB2312" w:hAnsi="仿宋_GB2312" w:eastAsia="仿宋_GB2312" w:cs="仿宋_GB2312"/>
                <w:sz w:val="24"/>
                <w:lang w:bidi="ar"/>
              </w:rPr>
            </w:pPr>
            <w:r>
              <w:rPr>
                <w:rFonts w:hint="eastAsia" w:ascii="仿宋_GB2312" w:hAnsi="仿宋_GB2312" w:eastAsia="仿宋_GB2312" w:cs="仿宋_GB2312"/>
                <w:sz w:val="24"/>
                <w:lang w:bidi="ar"/>
              </w:rPr>
              <w:t>陈立春</w:t>
            </w:r>
          </w:p>
        </w:tc>
        <w:tc>
          <w:tcPr>
            <w:tcW w:w="597" w:type="pct"/>
            <w:tcBorders>
              <w:top w:val="single" w:color="auto" w:sz="4" w:space="0"/>
              <w:left w:val="single" w:color="auto" w:sz="4" w:space="0"/>
              <w:bottom w:val="single" w:color="auto" w:sz="4" w:space="0"/>
              <w:right w:val="single" w:color="auto" w:sz="4" w:space="0"/>
            </w:tcBorders>
            <w:shd w:val="clear" w:color="auto" w:fill="auto"/>
            <w:vAlign w:val="center"/>
          </w:tcPr>
          <w:p w14:paraId="22122FB6">
            <w:pPr>
              <w:keepNext w:val="0"/>
              <w:keepLines w:val="0"/>
              <w:pageBreakBefore w:val="0"/>
              <w:widowControl w:val="0"/>
              <w:kinsoku/>
              <w:wordWrap/>
              <w:overflowPunct/>
              <w:topLinePunct w:val="0"/>
              <w:autoSpaceDE/>
              <w:autoSpaceDN/>
              <w:bidi w:val="0"/>
              <w:adjustRightInd/>
              <w:snapToGrid/>
              <w:ind w:left="0" w:firstLine="0" w:firstLineChars="0"/>
              <w:jc w:val="center"/>
              <w:textAlignment w:val="auto"/>
              <w:rPr>
                <w:rFonts w:hint="eastAsia" w:ascii="仿宋_GB2312" w:hAnsi="仿宋_GB2312" w:eastAsia="仿宋_GB2312" w:cs="仿宋_GB2312"/>
                <w:sz w:val="24"/>
                <w:lang w:bidi="ar"/>
              </w:rPr>
            </w:pPr>
            <w:r>
              <w:rPr>
                <w:rFonts w:hint="eastAsia" w:ascii="仿宋_GB2312" w:hAnsi="仿宋_GB2312" w:eastAsia="仿宋_GB2312" w:cs="仿宋_GB2312"/>
                <w:sz w:val="24"/>
                <w:lang w:val="en-US" w:eastAsia="zh-CN" w:bidi="ar"/>
              </w:rPr>
              <w:t>教授</w:t>
            </w:r>
          </w:p>
        </w:tc>
        <w:tc>
          <w:tcPr>
            <w:tcW w:w="727" w:type="pct"/>
            <w:tcBorders>
              <w:top w:val="single" w:color="000000" w:sz="2" w:space="0"/>
              <w:left w:val="single" w:color="auto" w:sz="4" w:space="0"/>
              <w:bottom w:val="single" w:color="auto" w:sz="4" w:space="0"/>
              <w:right w:val="single" w:color="auto" w:sz="4" w:space="0"/>
            </w:tcBorders>
            <w:shd w:val="clear" w:color="auto" w:fill="auto"/>
            <w:vAlign w:val="center"/>
          </w:tcPr>
          <w:p w14:paraId="451AAE9A">
            <w:pPr>
              <w:keepNext w:val="0"/>
              <w:keepLines w:val="0"/>
              <w:pageBreakBefore w:val="0"/>
              <w:widowControl w:val="0"/>
              <w:kinsoku/>
              <w:wordWrap/>
              <w:overflowPunct/>
              <w:topLinePunct w:val="0"/>
              <w:autoSpaceDE/>
              <w:autoSpaceDN/>
              <w:bidi w:val="0"/>
              <w:adjustRightInd/>
              <w:snapToGrid/>
              <w:ind w:left="0" w:firstLine="0" w:firstLineChars="0"/>
              <w:jc w:val="center"/>
              <w:textAlignment w:val="auto"/>
              <w:rPr>
                <w:rFonts w:hint="eastAsia" w:ascii="仿宋_GB2312" w:hAnsi="仿宋_GB2312" w:eastAsia="仿宋_GB2312" w:cs="仿宋_GB2312"/>
                <w:sz w:val="24"/>
                <w:lang w:bidi="ar"/>
              </w:rPr>
            </w:pPr>
            <w:r>
              <w:rPr>
                <w:rFonts w:hint="eastAsia" w:ascii="仿宋_GB2312" w:hAnsi="仿宋_GB2312" w:eastAsia="仿宋_GB2312" w:cs="仿宋_GB2312"/>
                <w:sz w:val="24"/>
                <w:lang w:bidi="ar"/>
              </w:rPr>
              <w:t>工程地震</w:t>
            </w:r>
          </w:p>
        </w:tc>
        <w:tc>
          <w:tcPr>
            <w:tcW w:w="1539" w:type="pct"/>
            <w:tcBorders>
              <w:top w:val="single" w:color="auto" w:sz="4" w:space="0"/>
              <w:left w:val="single" w:color="auto" w:sz="4" w:space="0"/>
              <w:bottom w:val="single" w:color="auto" w:sz="4" w:space="0"/>
              <w:right w:val="single" w:color="auto" w:sz="4" w:space="0"/>
            </w:tcBorders>
            <w:shd w:val="clear" w:color="auto" w:fill="auto"/>
            <w:vAlign w:val="center"/>
          </w:tcPr>
          <w:p w14:paraId="15AE1529">
            <w:pPr>
              <w:keepNext w:val="0"/>
              <w:keepLines w:val="0"/>
              <w:pageBreakBefore w:val="0"/>
              <w:widowControl w:val="0"/>
              <w:kinsoku/>
              <w:wordWrap/>
              <w:overflowPunct/>
              <w:topLinePunct w:val="0"/>
              <w:autoSpaceDE/>
              <w:autoSpaceDN/>
              <w:bidi w:val="0"/>
              <w:adjustRightInd/>
              <w:snapToGrid/>
              <w:ind w:left="0" w:firstLine="0" w:firstLineChars="0"/>
              <w:jc w:val="center"/>
              <w:textAlignment w:val="auto"/>
              <w:rPr>
                <w:rFonts w:hint="eastAsia" w:ascii="仿宋_GB2312" w:hAnsi="仿宋_GB2312" w:eastAsia="仿宋_GB2312" w:cs="仿宋_GB2312"/>
                <w:sz w:val="24"/>
                <w:lang w:bidi="ar"/>
              </w:rPr>
            </w:pPr>
            <w:r>
              <w:rPr>
                <w:rFonts w:hint="eastAsia" w:ascii="仿宋_GB2312" w:hAnsi="仿宋_GB2312" w:eastAsia="仿宋_GB2312" w:cs="仿宋_GB2312"/>
                <w:sz w:val="24"/>
                <w:lang w:val="en-US" w:eastAsia="zh-CN" w:bidi="ar"/>
              </w:rPr>
              <w:t>桂林理工大学</w:t>
            </w:r>
          </w:p>
        </w:tc>
        <w:tc>
          <w:tcPr>
            <w:tcW w:w="1539" w:type="pct"/>
            <w:tcBorders>
              <w:top w:val="single" w:color="auto" w:sz="4" w:space="0"/>
              <w:left w:val="single" w:color="auto" w:sz="4" w:space="0"/>
              <w:bottom w:val="single" w:color="auto" w:sz="4" w:space="0"/>
              <w:right w:val="single" w:color="auto" w:sz="4" w:space="0"/>
            </w:tcBorders>
            <w:vAlign w:val="center"/>
          </w:tcPr>
          <w:p w14:paraId="031B2F72">
            <w:pPr>
              <w:keepNext w:val="0"/>
              <w:keepLines w:val="0"/>
              <w:pageBreakBefore w:val="0"/>
              <w:widowControl w:val="0"/>
              <w:kinsoku/>
              <w:wordWrap/>
              <w:overflowPunct/>
              <w:topLinePunct w:val="0"/>
              <w:autoSpaceDE/>
              <w:autoSpaceDN/>
              <w:bidi w:val="0"/>
              <w:adjustRightInd/>
              <w:snapToGrid/>
              <w:ind w:left="0" w:firstLine="0" w:firstLineChars="0"/>
              <w:jc w:val="center"/>
              <w:textAlignment w:val="auto"/>
              <w:rPr>
                <w:rFonts w:hint="eastAsia" w:ascii="仿宋_GB2312" w:hAnsi="仿宋_GB2312" w:eastAsia="仿宋_GB2312" w:cs="仿宋_GB2312"/>
                <w:sz w:val="24"/>
                <w:lang w:bidi="ar"/>
              </w:rPr>
            </w:pPr>
            <w:r>
              <w:rPr>
                <w:rFonts w:hint="eastAsia" w:ascii="仿宋_GB2312" w:hAnsi="仿宋_GB2312" w:eastAsia="仿宋_GB2312" w:cs="仿宋_GB2312"/>
                <w:sz w:val="24"/>
                <w:lang w:bidi="ar"/>
              </w:rPr>
              <w:t>参与标准文本及编制说明的编写;组织开展标准征求意见会;对标准实施情况进行总结分析，不断对标准提出修正意见。</w:t>
            </w:r>
          </w:p>
        </w:tc>
      </w:tr>
      <w:tr w14:paraId="18E7CB4D">
        <w:tblPrEx>
          <w:tblCellMar>
            <w:top w:w="0" w:type="dxa"/>
            <w:left w:w="108" w:type="dxa"/>
            <w:bottom w:w="0" w:type="dxa"/>
            <w:right w:w="108" w:type="dxa"/>
          </w:tblCellMar>
        </w:tblPrEx>
        <w:trPr>
          <w:cantSplit/>
          <w:trHeight w:val="732" w:hRule="atLeast"/>
        </w:trPr>
        <w:tc>
          <w:tcPr>
            <w:tcW w:w="597" w:type="pct"/>
            <w:tcBorders>
              <w:top w:val="single" w:color="auto" w:sz="4" w:space="0"/>
              <w:left w:val="single" w:color="auto" w:sz="4" w:space="0"/>
              <w:bottom w:val="single" w:color="auto" w:sz="4" w:space="0"/>
              <w:right w:val="single" w:color="008000" w:sz="4" w:space="0"/>
            </w:tcBorders>
            <w:shd w:val="clear" w:color="auto" w:fill="auto"/>
            <w:vAlign w:val="center"/>
          </w:tcPr>
          <w:p w14:paraId="756B8DFD">
            <w:pPr>
              <w:keepNext w:val="0"/>
              <w:keepLines w:val="0"/>
              <w:pageBreakBefore w:val="0"/>
              <w:widowControl w:val="0"/>
              <w:kinsoku/>
              <w:wordWrap/>
              <w:overflowPunct/>
              <w:topLinePunct w:val="0"/>
              <w:autoSpaceDE/>
              <w:autoSpaceDN/>
              <w:bidi w:val="0"/>
              <w:adjustRightInd/>
              <w:snapToGrid/>
              <w:ind w:left="0" w:firstLine="0" w:firstLineChars="0"/>
              <w:jc w:val="center"/>
              <w:textAlignment w:val="auto"/>
              <w:rPr>
                <w:rFonts w:hint="eastAsia" w:ascii="仿宋_GB2312" w:hAnsi="仿宋_GB2312" w:eastAsia="仿宋_GB2312" w:cs="仿宋_GB2312"/>
                <w:sz w:val="24"/>
                <w:lang w:val="en-US" w:eastAsia="zh-CN" w:bidi="ar"/>
              </w:rPr>
            </w:pPr>
            <w:r>
              <w:rPr>
                <w:rFonts w:hint="eastAsia" w:ascii="仿宋_GB2312" w:hAnsi="仿宋_GB2312" w:eastAsia="仿宋_GB2312" w:cs="仿宋_GB2312"/>
                <w:sz w:val="24"/>
                <w:lang w:bidi="ar"/>
              </w:rPr>
              <w:t>李冰溯</w:t>
            </w:r>
          </w:p>
        </w:tc>
        <w:tc>
          <w:tcPr>
            <w:tcW w:w="597" w:type="pct"/>
            <w:tcBorders>
              <w:top w:val="single" w:color="auto" w:sz="4" w:space="0"/>
              <w:left w:val="single" w:color="auto" w:sz="4" w:space="0"/>
              <w:bottom w:val="single" w:color="auto" w:sz="4" w:space="0"/>
              <w:right w:val="single" w:color="auto" w:sz="4" w:space="0"/>
            </w:tcBorders>
            <w:shd w:val="clear" w:color="auto" w:fill="auto"/>
            <w:vAlign w:val="center"/>
          </w:tcPr>
          <w:p w14:paraId="0E31B9F9">
            <w:pPr>
              <w:keepNext w:val="0"/>
              <w:keepLines w:val="0"/>
              <w:pageBreakBefore w:val="0"/>
              <w:widowControl w:val="0"/>
              <w:kinsoku/>
              <w:wordWrap/>
              <w:overflowPunct/>
              <w:topLinePunct w:val="0"/>
              <w:autoSpaceDE/>
              <w:autoSpaceDN/>
              <w:bidi w:val="0"/>
              <w:adjustRightInd/>
              <w:snapToGrid/>
              <w:ind w:left="0" w:firstLine="0" w:firstLineChars="0"/>
              <w:jc w:val="center"/>
              <w:textAlignment w:val="auto"/>
              <w:rPr>
                <w:rFonts w:hint="eastAsia" w:ascii="仿宋_GB2312" w:hAnsi="仿宋_GB2312" w:eastAsia="仿宋_GB2312" w:cs="仿宋_GB2312"/>
                <w:sz w:val="24"/>
                <w:lang w:val="en-US" w:eastAsia="zh-CN" w:bidi="ar"/>
              </w:rPr>
            </w:pPr>
            <w:r>
              <w:rPr>
                <w:rFonts w:hint="eastAsia" w:ascii="仿宋_GB2312" w:hAnsi="仿宋_GB2312" w:eastAsia="仿宋_GB2312" w:cs="仿宋_GB2312"/>
                <w:sz w:val="24"/>
                <w:lang w:bidi="ar"/>
              </w:rPr>
              <w:t>高级工程师</w:t>
            </w:r>
          </w:p>
        </w:tc>
        <w:tc>
          <w:tcPr>
            <w:tcW w:w="727" w:type="pct"/>
            <w:tcBorders>
              <w:top w:val="single" w:color="000000" w:sz="2" w:space="0"/>
              <w:left w:val="single" w:color="auto" w:sz="4" w:space="0"/>
              <w:bottom w:val="single" w:color="auto" w:sz="4" w:space="0"/>
              <w:right w:val="single" w:color="auto" w:sz="4" w:space="0"/>
            </w:tcBorders>
            <w:shd w:val="clear" w:color="auto" w:fill="auto"/>
            <w:vAlign w:val="center"/>
          </w:tcPr>
          <w:p w14:paraId="157394B0">
            <w:pPr>
              <w:keepNext w:val="0"/>
              <w:keepLines w:val="0"/>
              <w:pageBreakBefore w:val="0"/>
              <w:widowControl w:val="0"/>
              <w:kinsoku/>
              <w:wordWrap/>
              <w:overflowPunct/>
              <w:topLinePunct w:val="0"/>
              <w:autoSpaceDE/>
              <w:autoSpaceDN/>
              <w:bidi w:val="0"/>
              <w:adjustRightInd/>
              <w:snapToGrid/>
              <w:ind w:left="0" w:firstLine="0" w:firstLineChars="0"/>
              <w:jc w:val="center"/>
              <w:textAlignment w:val="auto"/>
              <w:rPr>
                <w:rFonts w:hint="eastAsia" w:ascii="仿宋_GB2312" w:hAnsi="仿宋_GB2312" w:eastAsia="仿宋_GB2312" w:cs="仿宋_GB2312"/>
                <w:sz w:val="24"/>
                <w:lang w:val="en-US" w:eastAsia="zh-CN" w:bidi="ar"/>
              </w:rPr>
            </w:pPr>
            <w:r>
              <w:rPr>
                <w:rFonts w:hint="eastAsia" w:ascii="仿宋_GB2312" w:hAnsi="仿宋_GB2312" w:eastAsia="仿宋_GB2312" w:cs="仿宋_GB2312"/>
                <w:sz w:val="24"/>
                <w:lang w:bidi="ar"/>
              </w:rPr>
              <w:t>地震地质</w:t>
            </w:r>
          </w:p>
        </w:tc>
        <w:tc>
          <w:tcPr>
            <w:tcW w:w="1539" w:type="pct"/>
            <w:tcBorders>
              <w:top w:val="single" w:color="auto" w:sz="4" w:space="0"/>
              <w:left w:val="single" w:color="auto" w:sz="4" w:space="0"/>
              <w:bottom w:val="single" w:color="auto" w:sz="4" w:space="0"/>
              <w:right w:val="single" w:color="auto" w:sz="4" w:space="0"/>
            </w:tcBorders>
            <w:shd w:val="clear" w:color="auto" w:fill="auto"/>
            <w:vAlign w:val="center"/>
          </w:tcPr>
          <w:p w14:paraId="72CD632A">
            <w:pPr>
              <w:keepNext w:val="0"/>
              <w:keepLines w:val="0"/>
              <w:pageBreakBefore w:val="0"/>
              <w:widowControl w:val="0"/>
              <w:kinsoku/>
              <w:wordWrap/>
              <w:overflowPunct/>
              <w:topLinePunct w:val="0"/>
              <w:autoSpaceDE/>
              <w:autoSpaceDN/>
              <w:bidi w:val="0"/>
              <w:adjustRightInd/>
              <w:snapToGrid/>
              <w:ind w:left="0" w:firstLine="0" w:firstLineChars="0"/>
              <w:jc w:val="center"/>
              <w:textAlignment w:val="auto"/>
              <w:rPr>
                <w:rFonts w:hint="eastAsia" w:ascii="仿宋_GB2312" w:hAnsi="仿宋_GB2312" w:eastAsia="仿宋_GB2312" w:cs="仿宋_GB2312"/>
                <w:sz w:val="24"/>
                <w:lang w:val="en-US" w:eastAsia="zh-CN" w:bidi="ar"/>
              </w:rPr>
            </w:pPr>
            <w:r>
              <w:rPr>
                <w:rFonts w:hint="eastAsia" w:ascii="仿宋_GB2312" w:hAnsi="仿宋_GB2312" w:eastAsia="仿宋_GB2312" w:cs="仿宋_GB2312"/>
                <w:sz w:val="24"/>
                <w:lang w:bidi="ar"/>
              </w:rPr>
              <w:t>广西壮族自治区震灾风险防治中心</w:t>
            </w:r>
          </w:p>
        </w:tc>
        <w:tc>
          <w:tcPr>
            <w:tcW w:w="1539" w:type="pct"/>
            <w:tcBorders>
              <w:top w:val="single" w:color="auto" w:sz="4" w:space="0"/>
              <w:left w:val="single" w:color="auto" w:sz="4" w:space="0"/>
              <w:bottom w:val="single" w:color="auto" w:sz="4" w:space="0"/>
              <w:right w:val="single" w:color="auto" w:sz="4" w:space="0"/>
            </w:tcBorders>
            <w:vAlign w:val="center"/>
          </w:tcPr>
          <w:p w14:paraId="51357585">
            <w:pPr>
              <w:keepNext w:val="0"/>
              <w:keepLines w:val="0"/>
              <w:pageBreakBefore w:val="0"/>
              <w:widowControl w:val="0"/>
              <w:kinsoku/>
              <w:wordWrap/>
              <w:overflowPunct/>
              <w:topLinePunct w:val="0"/>
              <w:autoSpaceDE/>
              <w:autoSpaceDN/>
              <w:bidi w:val="0"/>
              <w:adjustRightInd/>
              <w:snapToGrid/>
              <w:ind w:left="0" w:firstLine="0" w:firstLineChars="0"/>
              <w:jc w:val="center"/>
              <w:textAlignment w:val="auto"/>
              <w:rPr>
                <w:rFonts w:hint="eastAsia" w:ascii="仿宋_GB2312" w:hAnsi="仿宋_GB2312" w:eastAsia="仿宋_GB2312" w:cs="仿宋_GB2312"/>
                <w:sz w:val="24"/>
                <w:lang w:bidi="ar"/>
              </w:rPr>
            </w:pPr>
            <w:r>
              <w:rPr>
                <w:rFonts w:hint="eastAsia" w:ascii="仿宋_GB2312" w:hAnsi="仿宋_GB2312" w:eastAsia="仿宋_GB2312" w:cs="仿宋_GB2312"/>
                <w:sz w:val="24"/>
                <w:lang w:bidi="ar"/>
              </w:rPr>
              <w:t>参与标准文本及编制说明的编写;组织开展标准征求意见会;对标准实施情况进行总结分析，不断对标准提出修正意见。</w:t>
            </w:r>
          </w:p>
        </w:tc>
      </w:tr>
      <w:tr w14:paraId="579CA27A">
        <w:tblPrEx>
          <w:tblCellMar>
            <w:top w:w="0" w:type="dxa"/>
            <w:left w:w="108" w:type="dxa"/>
            <w:bottom w:w="0" w:type="dxa"/>
            <w:right w:w="108" w:type="dxa"/>
          </w:tblCellMar>
        </w:tblPrEx>
        <w:trPr>
          <w:cantSplit/>
          <w:trHeight w:val="732" w:hRule="atLeast"/>
        </w:trPr>
        <w:tc>
          <w:tcPr>
            <w:tcW w:w="597" w:type="pct"/>
            <w:tcBorders>
              <w:top w:val="single" w:color="auto" w:sz="4" w:space="0"/>
              <w:left w:val="single" w:color="auto" w:sz="4" w:space="0"/>
              <w:bottom w:val="single" w:color="auto" w:sz="4" w:space="0"/>
              <w:right w:val="single" w:color="008000" w:sz="4" w:space="0"/>
            </w:tcBorders>
            <w:shd w:val="clear" w:color="auto" w:fill="auto"/>
            <w:vAlign w:val="center"/>
          </w:tcPr>
          <w:p w14:paraId="56774C71">
            <w:pPr>
              <w:keepNext w:val="0"/>
              <w:keepLines w:val="0"/>
              <w:pageBreakBefore w:val="0"/>
              <w:widowControl w:val="0"/>
              <w:kinsoku/>
              <w:wordWrap/>
              <w:overflowPunct/>
              <w:topLinePunct w:val="0"/>
              <w:autoSpaceDE/>
              <w:autoSpaceDN/>
              <w:bidi w:val="0"/>
              <w:adjustRightInd/>
              <w:snapToGrid/>
              <w:ind w:left="0" w:firstLine="0" w:firstLineChars="0"/>
              <w:jc w:val="center"/>
              <w:textAlignment w:val="auto"/>
              <w:rPr>
                <w:rFonts w:hint="eastAsia" w:ascii="仿宋_GB2312" w:hAnsi="仿宋_GB2312" w:eastAsia="仿宋_GB2312" w:cs="仿宋_GB2312"/>
                <w:sz w:val="24"/>
                <w:lang w:bidi="ar"/>
              </w:rPr>
            </w:pPr>
            <w:r>
              <w:rPr>
                <w:rFonts w:hint="eastAsia" w:ascii="仿宋_GB2312" w:hAnsi="仿宋_GB2312" w:eastAsia="仿宋_GB2312" w:cs="仿宋_GB2312"/>
                <w:sz w:val="24"/>
                <w:lang w:bidi="ar"/>
              </w:rPr>
              <w:t>吴教兵</w:t>
            </w:r>
          </w:p>
        </w:tc>
        <w:tc>
          <w:tcPr>
            <w:tcW w:w="597" w:type="pct"/>
            <w:tcBorders>
              <w:top w:val="single" w:color="auto" w:sz="4" w:space="0"/>
              <w:left w:val="single" w:color="auto" w:sz="4" w:space="0"/>
              <w:bottom w:val="single" w:color="auto" w:sz="4" w:space="0"/>
              <w:right w:val="single" w:color="auto" w:sz="4" w:space="0"/>
            </w:tcBorders>
            <w:shd w:val="clear" w:color="auto" w:fill="auto"/>
            <w:vAlign w:val="center"/>
          </w:tcPr>
          <w:p w14:paraId="7D1496E9">
            <w:pPr>
              <w:keepNext w:val="0"/>
              <w:keepLines w:val="0"/>
              <w:pageBreakBefore w:val="0"/>
              <w:widowControl w:val="0"/>
              <w:kinsoku/>
              <w:wordWrap/>
              <w:overflowPunct/>
              <w:topLinePunct w:val="0"/>
              <w:autoSpaceDE/>
              <w:autoSpaceDN/>
              <w:bidi w:val="0"/>
              <w:adjustRightInd/>
              <w:snapToGrid/>
              <w:ind w:left="0" w:firstLine="0" w:firstLineChars="0"/>
              <w:jc w:val="center"/>
              <w:textAlignment w:val="auto"/>
              <w:rPr>
                <w:rFonts w:hint="eastAsia" w:ascii="仿宋_GB2312" w:hAnsi="仿宋_GB2312" w:eastAsia="仿宋_GB2312" w:cs="仿宋_GB2312"/>
                <w:sz w:val="24"/>
                <w:lang w:bidi="ar"/>
              </w:rPr>
            </w:pPr>
            <w:r>
              <w:rPr>
                <w:rFonts w:hint="eastAsia" w:ascii="仿宋_GB2312" w:hAnsi="仿宋_GB2312" w:eastAsia="仿宋_GB2312" w:cs="仿宋_GB2312"/>
                <w:sz w:val="24"/>
                <w:lang w:val="en-US" w:eastAsia="zh-CN" w:bidi="ar"/>
              </w:rPr>
              <w:t>高级工程师</w:t>
            </w:r>
          </w:p>
        </w:tc>
        <w:tc>
          <w:tcPr>
            <w:tcW w:w="727" w:type="pct"/>
            <w:tcBorders>
              <w:top w:val="single" w:color="000000" w:sz="2" w:space="0"/>
              <w:left w:val="single" w:color="auto" w:sz="4" w:space="0"/>
              <w:bottom w:val="single" w:color="auto" w:sz="4" w:space="0"/>
              <w:right w:val="single" w:color="auto" w:sz="4" w:space="0"/>
            </w:tcBorders>
            <w:shd w:val="clear" w:color="auto" w:fill="auto"/>
            <w:vAlign w:val="center"/>
          </w:tcPr>
          <w:p w14:paraId="7977AEE4">
            <w:pPr>
              <w:keepNext w:val="0"/>
              <w:keepLines w:val="0"/>
              <w:pageBreakBefore w:val="0"/>
              <w:widowControl w:val="0"/>
              <w:kinsoku/>
              <w:wordWrap/>
              <w:overflowPunct/>
              <w:topLinePunct w:val="0"/>
              <w:autoSpaceDE/>
              <w:autoSpaceDN/>
              <w:bidi w:val="0"/>
              <w:adjustRightInd/>
              <w:snapToGrid/>
              <w:ind w:left="0" w:firstLine="0" w:firstLineChars="0"/>
              <w:jc w:val="center"/>
              <w:textAlignment w:val="auto"/>
              <w:rPr>
                <w:rFonts w:hint="eastAsia" w:ascii="仿宋_GB2312" w:hAnsi="仿宋_GB2312" w:eastAsia="仿宋_GB2312" w:cs="仿宋_GB2312"/>
                <w:sz w:val="24"/>
                <w:lang w:bidi="ar"/>
              </w:rPr>
            </w:pPr>
            <w:r>
              <w:rPr>
                <w:rFonts w:hint="eastAsia" w:ascii="仿宋_GB2312" w:hAnsi="仿宋_GB2312" w:eastAsia="仿宋_GB2312" w:cs="仿宋_GB2312"/>
                <w:sz w:val="24"/>
                <w:lang w:bidi="ar"/>
              </w:rPr>
              <w:t>工程地震</w:t>
            </w:r>
          </w:p>
        </w:tc>
        <w:tc>
          <w:tcPr>
            <w:tcW w:w="1539" w:type="pct"/>
            <w:tcBorders>
              <w:top w:val="single" w:color="auto" w:sz="4" w:space="0"/>
              <w:left w:val="single" w:color="auto" w:sz="4" w:space="0"/>
              <w:bottom w:val="single" w:color="auto" w:sz="4" w:space="0"/>
              <w:right w:val="single" w:color="auto" w:sz="4" w:space="0"/>
            </w:tcBorders>
            <w:shd w:val="clear" w:color="auto" w:fill="auto"/>
            <w:vAlign w:val="center"/>
          </w:tcPr>
          <w:p w14:paraId="233A570D">
            <w:pPr>
              <w:keepNext w:val="0"/>
              <w:keepLines w:val="0"/>
              <w:pageBreakBefore w:val="0"/>
              <w:widowControl w:val="0"/>
              <w:kinsoku/>
              <w:wordWrap/>
              <w:overflowPunct/>
              <w:topLinePunct w:val="0"/>
              <w:autoSpaceDE/>
              <w:autoSpaceDN/>
              <w:bidi w:val="0"/>
              <w:adjustRightInd/>
              <w:snapToGrid/>
              <w:ind w:left="0" w:firstLine="0" w:firstLineChars="0"/>
              <w:jc w:val="center"/>
              <w:textAlignment w:val="auto"/>
              <w:rPr>
                <w:rFonts w:hint="eastAsia" w:ascii="仿宋_GB2312" w:hAnsi="仿宋_GB2312" w:eastAsia="仿宋_GB2312" w:cs="仿宋_GB2312"/>
                <w:sz w:val="24"/>
                <w:lang w:bidi="ar"/>
              </w:rPr>
            </w:pPr>
            <w:r>
              <w:rPr>
                <w:rFonts w:hint="eastAsia" w:ascii="仿宋_GB2312" w:hAnsi="仿宋_GB2312" w:eastAsia="仿宋_GB2312" w:cs="仿宋_GB2312"/>
                <w:sz w:val="24"/>
                <w:lang w:val="en-US" w:eastAsia="zh-CN" w:bidi="ar"/>
              </w:rPr>
              <w:t>广西壮族自治区震灾风险防治中心</w:t>
            </w:r>
          </w:p>
        </w:tc>
        <w:tc>
          <w:tcPr>
            <w:tcW w:w="1539" w:type="pct"/>
            <w:tcBorders>
              <w:top w:val="single" w:color="auto" w:sz="4" w:space="0"/>
              <w:left w:val="single" w:color="auto" w:sz="4" w:space="0"/>
              <w:bottom w:val="single" w:color="auto" w:sz="4" w:space="0"/>
              <w:right w:val="single" w:color="auto" w:sz="4" w:space="0"/>
            </w:tcBorders>
            <w:vAlign w:val="center"/>
          </w:tcPr>
          <w:p w14:paraId="02597510">
            <w:pPr>
              <w:keepNext w:val="0"/>
              <w:keepLines w:val="0"/>
              <w:pageBreakBefore w:val="0"/>
              <w:widowControl w:val="0"/>
              <w:kinsoku/>
              <w:wordWrap/>
              <w:overflowPunct/>
              <w:topLinePunct w:val="0"/>
              <w:autoSpaceDE/>
              <w:autoSpaceDN/>
              <w:bidi w:val="0"/>
              <w:adjustRightInd/>
              <w:snapToGrid/>
              <w:ind w:left="0" w:firstLine="0" w:firstLineChars="0"/>
              <w:jc w:val="center"/>
              <w:textAlignment w:val="auto"/>
              <w:rPr>
                <w:rFonts w:hint="eastAsia" w:ascii="仿宋_GB2312" w:hAnsi="仿宋_GB2312" w:eastAsia="仿宋_GB2312" w:cs="仿宋_GB2312"/>
                <w:sz w:val="24"/>
                <w:lang w:bidi="ar"/>
              </w:rPr>
            </w:pPr>
            <w:r>
              <w:rPr>
                <w:rFonts w:hint="eastAsia" w:ascii="仿宋_GB2312" w:hAnsi="仿宋_GB2312" w:eastAsia="仿宋_GB2312" w:cs="仿宋_GB2312"/>
                <w:sz w:val="24"/>
                <w:lang w:bidi="ar"/>
              </w:rPr>
              <w:t>参与标准文本及编制说明的编写;组织开展标准征求意见会;对标准实施情况进行总结分析，不断对标准提出修正意见。</w:t>
            </w:r>
          </w:p>
        </w:tc>
      </w:tr>
      <w:tr w14:paraId="1AFE2D9C">
        <w:tblPrEx>
          <w:tblCellMar>
            <w:top w:w="0" w:type="dxa"/>
            <w:left w:w="108" w:type="dxa"/>
            <w:bottom w:w="0" w:type="dxa"/>
            <w:right w:w="108" w:type="dxa"/>
          </w:tblCellMar>
        </w:tblPrEx>
        <w:trPr>
          <w:cantSplit/>
          <w:trHeight w:val="732" w:hRule="atLeast"/>
        </w:trPr>
        <w:tc>
          <w:tcPr>
            <w:tcW w:w="597" w:type="pct"/>
            <w:tcBorders>
              <w:top w:val="single" w:color="auto" w:sz="4" w:space="0"/>
              <w:left w:val="single" w:color="auto" w:sz="4" w:space="0"/>
              <w:bottom w:val="single" w:color="auto" w:sz="4" w:space="0"/>
              <w:right w:val="single" w:color="008000" w:sz="4" w:space="0"/>
            </w:tcBorders>
            <w:shd w:val="clear" w:color="auto" w:fill="auto"/>
            <w:vAlign w:val="center"/>
          </w:tcPr>
          <w:p w14:paraId="7B5E284D">
            <w:pPr>
              <w:keepNext w:val="0"/>
              <w:keepLines w:val="0"/>
              <w:pageBreakBefore w:val="0"/>
              <w:widowControl w:val="0"/>
              <w:kinsoku/>
              <w:wordWrap/>
              <w:overflowPunct/>
              <w:topLinePunct w:val="0"/>
              <w:autoSpaceDE/>
              <w:autoSpaceDN/>
              <w:bidi w:val="0"/>
              <w:adjustRightInd/>
              <w:snapToGrid/>
              <w:ind w:left="0" w:firstLine="0" w:firstLineChars="0"/>
              <w:jc w:val="center"/>
              <w:textAlignment w:val="auto"/>
              <w:rPr>
                <w:rFonts w:hint="eastAsia" w:ascii="仿宋_GB2312" w:hAnsi="仿宋_GB2312" w:eastAsia="仿宋_GB2312" w:cs="仿宋_GB2312"/>
                <w:sz w:val="24"/>
                <w:lang w:bidi="ar"/>
              </w:rPr>
            </w:pPr>
            <w:r>
              <w:rPr>
                <w:rFonts w:hint="eastAsia" w:ascii="仿宋_GB2312" w:hAnsi="仿宋_GB2312" w:eastAsia="仿宋_GB2312" w:cs="仿宋_GB2312"/>
                <w:sz w:val="24"/>
                <w:lang w:bidi="ar"/>
              </w:rPr>
              <w:t>张沛全</w:t>
            </w:r>
          </w:p>
        </w:tc>
        <w:tc>
          <w:tcPr>
            <w:tcW w:w="597" w:type="pct"/>
            <w:tcBorders>
              <w:top w:val="single" w:color="auto" w:sz="4" w:space="0"/>
              <w:left w:val="single" w:color="auto" w:sz="4" w:space="0"/>
              <w:bottom w:val="single" w:color="auto" w:sz="4" w:space="0"/>
              <w:right w:val="single" w:color="auto" w:sz="4" w:space="0"/>
            </w:tcBorders>
            <w:shd w:val="clear" w:color="auto" w:fill="auto"/>
            <w:vAlign w:val="center"/>
          </w:tcPr>
          <w:p w14:paraId="4ADF7EE4">
            <w:pPr>
              <w:keepNext w:val="0"/>
              <w:keepLines w:val="0"/>
              <w:pageBreakBefore w:val="0"/>
              <w:widowControl w:val="0"/>
              <w:kinsoku/>
              <w:wordWrap/>
              <w:overflowPunct/>
              <w:topLinePunct w:val="0"/>
              <w:autoSpaceDE/>
              <w:autoSpaceDN/>
              <w:bidi w:val="0"/>
              <w:adjustRightInd/>
              <w:snapToGrid/>
              <w:ind w:left="0" w:firstLine="0" w:firstLineChars="0"/>
              <w:jc w:val="center"/>
              <w:textAlignment w:val="auto"/>
              <w:rPr>
                <w:rFonts w:hint="eastAsia" w:ascii="仿宋_GB2312" w:hAnsi="仿宋_GB2312" w:eastAsia="仿宋_GB2312" w:cs="仿宋_GB2312"/>
                <w:sz w:val="24"/>
                <w:lang w:bidi="ar"/>
              </w:rPr>
            </w:pPr>
            <w:r>
              <w:rPr>
                <w:rFonts w:hint="eastAsia" w:ascii="仿宋_GB2312" w:hAnsi="仿宋_GB2312" w:eastAsia="仿宋_GB2312" w:cs="仿宋_GB2312"/>
                <w:sz w:val="24"/>
                <w:lang w:val="en-US" w:eastAsia="zh-CN" w:bidi="ar"/>
              </w:rPr>
              <w:t>高级工程师</w:t>
            </w:r>
          </w:p>
        </w:tc>
        <w:tc>
          <w:tcPr>
            <w:tcW w:w="727" w:type="pct"/>
            <w:tcBorders>
              <w:top w:val="single" w:color="000000" w:sz="2" w:space="0"/>
              <w:left w:val="single" w:color="auto" w:sz="4" w:space="0"/>
              <w:bottom w:val="single" w:color="auto" w:sz="4" w:space="0"/>
              <w:right w:val="single" w:color="auto" w:sz="4" w:space="0"/>
            </w:tcBorders>
            <w:shd w:val="clear" w:color="auto" w:fill="auto"/>
            <w:vAlign w:val="center"/>
          </w:tcPr>
          <w:p w14:paraId="6BC82B1D">
            <w:pPr>
              <w:keepNext w:val="0"/>
              <w:keepLines w:val="0"/>
              <w:pageBreakBefore w:val="0"/>
              <w:widowControl w:val="0"/>
              <w:kinsoku/>
              <w:wordWrap/>
              <w:overflowPunct/>
              <w:topLinePunct w:val="0"/>
              <w:autoSpaceDE/>
              <w:autoSpaceDN/>
              <w:bidi w:val="0"/>
              <w:adjustRightInd/>
              <w:snapToGrid/>
              <w:ind w:left="0" w:firstLine="0" w:firstLineChars="0"/>
              <w:jc w:val="center"/>
              <w:textAlignment w:val="auto"/>
              <w:rPr>
                <w:rFonts w:hint="eastAsia" w:ascii="仿宋_GB2312" w:hAnsi="仿宋_GB2312" w:eastAsia="仿宋_GB2312" w:cs="仿宋_GB2312"/>
                <w:sz w:val="24"/>
                <w:lang w:bidi="ar"/>
              </w:rPr>
            </w:pPr>
            <w:r>
              <w:rPr>
                <w:rFonts w:hint="eastAsia" w:ascii="仿宋_GB2312" w:hAnsi="仿宋_GB2312" w:eastAsia="仿宋_GB2312" w:cs="仿宋_GB2312"/>
                <w:sz w:val="24"/>
                <w:lang w:bidi="ar"/>
              </w:rPr>
              <w:t>工程地震</w:t>
            </w:r>
          </w:p>
        </w:tc>
        <w:tc>
          <w:tcPr>
            <w:tcW w:w="1539" w:type="pct"/>
            <w:tcBorders>
              <w:top w:val="single" w:color="auto" w:sz="4" w:space="0"/>
              <w:left w:val="single" w:color="auto" w:sz="4" w:space="0"/>
              <w:bottom w:val="single" w:color="auto" w:sz="4" w:space="0"/>
              <w:right w:val="single" w:color="auto" w:sz="4" w:space="0"/>
            </w:tcBorders>
            <w:shd w:val="clear" w:color="auto" w:fill="auto"/>
            <w:vAlign w:val="center"/>
          </w:tcPr>
          <w:p w14:paraId="38EA3CFC">
            <w:pPr>
              <w:keepNext w:val="0"/>
              <w:keepLines w:val="0"/>
              <w:pageBreakBefore w:val="0"/>
              <w:widowControl w:val="0"/>
              <w:kinsoku/>
              <w:wordWrap/>
              <w:overflowPunct/>
              <w:topLinePunct w:val="0"/>
              <w:autoSpaceDE/>
              <w:autoSpaceDN/>
              <w:bidi w:val="0"/>
              <w:adjustRightInd/>
              <w:snapToGrid/>
              <w:ind w:left="0" w:firstLine="0" w:firstLineChars="0"/>
              <w:jc w:val="center"/>
              <w:textAlignment w:val="auto"/>
              <w:rPr>
                <w:rFonts w:hint="eastAsia" w:ascii="仿宋_GB2312" w:hAnsi="仿宋_GB2312" w:eastAsia="仿宋_GB2312" w:cs="仿宋_GB2312"/>
                <w:sz w:val="24"/>
                <w:lang w:bidi="ar"/>
              </w:rPr>
            </w:pPr>
            <w:r>
              <w:rPr>
                <w:rFonts w:hint="eastAsia" w:ascii="仿宋_GB2312" w:hAnsi="仿宋_GB2312" w:eastAsia="仿宋_GB2312" w:cs="仿宋_GB2312"/>
                <w:sz w:val="24"/>
                <w:lang w:val="en-US" w:eastAsia="zh-CN" w:bidi="ar"/>
              </w:rPr>
              <w:t>广西壮族自治区震灾风险防治中心</w:t>
            </w:r>
          </w:p>
        </w:tc>
        <w:tc>
          <w:tcPr>
            <w:tcW w:w="1539" w:type="pct"/>
            <w:tcBorders>
              <w:top w:val="single" w:color="auto" w:sz="4" w:space="0"/>
              <w:left w:val="single" w:color="auto" w:sz="4" w:space="0"/>
              <w:bottom w:val="single" w:color="auto" w:sz="4" w:space="0"/>
              <w:right w:val="single" w:color="auto" w:sz="4" w:space="0"/>
            </w:tcBorders>
            <w:vAlign w:val="center"/>
          </w:tcPr>
          <w:p w14:paraId="16688630">
            <w:pPr>
              <w:keepNext w:val="0"/>
              <w:keepLines w:val="0"/>
              <w:pageBreakBefore w:val="0"/>
              <w:widowControl w:val="0"/>
              <w:kinsoku/>
              <w:wordWrap/>
              <w:overflowPunct/>
              <w:topLinePunct w:val="0"/>
              <w:autoSpaceDE/>
              <w:autoSpaceDN/>
              <w:bidi w:val="0"/>
              <w:adjustRightInd/>
              <w:snapToGrid/>
              <w:ind w:left="0" w:firstLine="0" w:firstLineChars="0"/>
              <w:jc w:val="center"/>
              <w:textAlignment w:val="auto"/>
              <w:rPr>
                <w:rFonts w:hint="eastAsia" w:ascii="仿宋_GB2312" w:hAnsi="仿宋_GB2312" w:eastAsia="仿宋_GB2312" w:cs="仿宋_GB2312"/>
                <w:sz w:val="24"/>
                <w:lang w:bidi="ar"/>
              </w:rPr>
            </w:pPr>
            <w:r>
              <w:rPr>
                <w:rFonts w:hint="eastAsia" w:ascii="仿宋_GB2312" w:hAnsi="仿宋_GB2312" w:eastAsia="仿宋_GB2312" w:cs="仿宋_GB2312"/>
                <w:sz w:val="24"/>
                <w:lang w:bidi="ar"/>
              </w:rPr>
              <w:t>参与标准文本及编制说明的编写;组织开展标准征求意见会;对标准实施情况进行总结分析，不断对标准提出修正意见。</w:t>
            </w:r>
          </w:p>
        </w:tc>
      </w:tr>
      <w:tr w14:paraId="04FFF738">
        <w:tblPrEx>
          <w:tblCellMar>
            <w:top w:w="0" w:type="dxa"/>
            <w:left w:w="108" w:type="dxa"/>
            <w:bottom w:w="0" w:type="dxa"/>
            <w:right w:w="108" w:type="dxa"/>
          </w:tblCellMar>
        </w:tblPrEx>
        <w:trPr>
          <w:cantSplit/>
          <w:trHeight w:val="732" w:hRule="atLeast"/>
        </w:trPr>
        <w:tc>
          <w:tcPr>
            <w:tcW w:w="597" w:type="pct"/>
            <w:tcBorders>
              <w:top w:val="single" w:color="auto" w:sz="4" w:space="0"/>
              <w:left w:val="single" w:color="auto" w:sz="4" w:space="0"/>
              <w:bottom w:val="single" w:color="auto" w:sz="4" w:space="0"/>
              <w:right w:val="single" w:color="008000" w:sz="4" w:space="0"/>
            </w:tcBorders>
            <w:shd w:val="clear" w:color="auto" w:fill="auto"/>
            <w:vAlign w:val="center"/>
          </w:tcPr>
          <w:p w14:paraId="490586B8">
            <w:pPr>
              <w:keepNext w:val="0"/>
              <w:keepLines w:val="0"/>
              <w:pageBreakBefore w:val="0"/>
              <w:widowControl w:val="0"/>
              <w:kinsoku/>
              <w:wordWrap/>
              <w:overflowPunct/>
              <w:topLinePunct w:val="0"/>
              <w:autoSpaceDE/>
              <w:autoSpaceDN/>
              <w:bidi w:val="0"/>
              <w:adjustRightInd/>
              <w:snapToGrid/>
              <w:ind w:left="0" w:firstLine="0" w:firstLineChars="0"/>
              <w:jc w:val="center"/>
              <w:textAlignment w:val="auto"/>
              <w:rPr>
                <w:rFonts w:hint="eastAsia" w:ascii="仿宋_GB2312" w:hAnsi="仿宋_GB2312" w:eastAsia="仿宋_GB2312" w:cs="仿宋_GB2312"/>
                <w:sz w:val="24"/>
                <w:lang w:val="en-US" w:eastAsia="zh-CN" w:bidi="ar"/>
              </w:rPr>
            </w:pPr>
            <w:r>
              <w:rPr>
                <w:rFonts w:hint="eastAsia" w:ascii="仿宋_GB2312" w:hAnsi="仿宋_GB2312" w:eastAsia="仿宋_GB2312" w:cs="仿宋_GB2312"/>
                <w:sz w:val="24"/>
                <w:lang w:bidi="ar"/>
              </w:rPr>
              <w:t>何兴敦</w:t>
            </w:r>
          </w:p>
        </w:tc>
        <w:tc>
          <w:tcPr>
            <w:tcW w:w="597" w:type="pct"/>
            <w:tcBorders>
              <w:top w:val="single" w:color="auto" w:sz="4" w:space="0"/>
              <w:left w:val="single" w:color="auto" w:sz="4" w:space="0"/>
              <w:bottom w:val="single" w:color="auto" w:sz="4" w:space="0"/>
              <w:right w:val="single" w:color="auto" w:sz="4" w:space="0"/>
            </w:tcBorders>
            <w:shd w:val="clear" w:color="auto" w:fill="auto"/>
            <w:vAlign w:val="center"/>
          </w:tcPr>
          <w:p w14:paraId="043ED5FC">
            <w:pPr>
              <w:keepNext w:val="0"/>
              <w:keepLines w:val="0"/>
              <w:pageBreakBefore w:val="0"/>
              <w:widowControl w:val="0"/>
              <w:kinsoku/>
              <w:wordWrap/>
              <w:overflowPunct/>
              <w:topLinePunct w:val="0"/>
              <w:autoSpaceDE/>
              <w:autoSpaceDN/>
              <w:bidi w:val="0"/>
              <w:adjustRightInd/>
              <w:snapToGrid/>
              <w:ind w:left="0" w:firstLine="0" w:firstLineChars="0"/>
              <w:jc w:val="center"/>
              <w:textAlignment w:val="auto"/>
              <w:rPr>
                <w:rFonts w:hint="eastAsia" w:ascii="仿宋_GB2312" w:hAnsi="仿宋_GB2312" w:eastAsia="仿宋_GB2312" w:cs="仿宋_GB2312"/>
                <w:sz w:val="24"/>
                <w:lang w:val="en-US" w:eastAsia="zh-CN" w:bidi="ar"/>
              </w:rPr>
            </w:pPr>
            <w:r>
              <w:rPr>
                <w:rFonts w:hint="eastAsia" w:ascii="仿宋_GB2312" w:hAnsi="仿宋_GB2312" w:eastAsia="仿宋_GB2312" w:cs="仿宋_GB2312"/>
                <w:sz w:val="24"/>
                <w:lang w:bidi="ar"/>
              </w:rPr>
              <w:t>工程师</w:t>
            </w:r>
          </w:p>
        </w:tc>
        <w:tc>
          <w:tcPr>
            <w:tcW w:w="727" w:type="pct"/>
            <w:tcBorders>
              <w:top w:val="single" w:color="000000" w:sz="2" w:space="0"/>
              <w:left w:val="single" w:color="auto" w:sz="4" w:space="0"/>
              <w:bottom w:val="single" w:color="auto" w:sz="4" w:space="0"/>
              <w:right w:val="single" w:color="auto" w:sz="4" w:space="0"/>
            </w:tcBorders>
            <w:shd w:val="clear" w:color="auto" w:fill="auto"/>
            <w:vAlign w:val="center"/>
          </w:tcPr>
          <w:p w14:paraId="791728F9">
            <w:pPr>
              <w:keepNext w:val="0"/>
              <w:keepLines w:val="0"/>
              <w:pageBreakBefore w:val="0"/>
              <w:widowControl w:val="0"/>
              <w:kinsoku/>
              <w:wordWrap/>
              <w:overflowPunct/>
              <w:topLinePunct w:val="0"/>
              <w:autoSpaceDE/>
              <w:autoSpaceDN/>
              <w:bidi w:val="0"/>
              <w:adjustRightInd/>
              <w:snapToGrid/>
              <w:ind w:left="0" w:firstLine="0" w:firstLineChars="0"/>
              <w:jc w:val="center"/>
              <w:textAlignment w:val="auto"/>
              <w:rPr>
                <w:rFonts w:hint="eastAsia" w:ascii="仿宋_GB2312" w:hAnsi="仿宋_GB2312" w:eastAsia="仿宋_GB2312" w:cs="仿宋_GB2312"/>
                <w:sz w:val="24"/>
                <w:lang w:val="en-US" w:eastAsia="zh-CN" w:bidi="ar"/>
              </w:rPr>
            </w:pPr>
            <w:r>
              <w:rPr>
                <w:rFonts w:hint="eastAsia" w:ascii="仿宋_GB2312" w:hAnsi="仿宋_GB2312" w:eastAsia="仿宋_GB2312" w:cs="仿宋_GB2312"/>
                <w:sz w:val="24"/>
                <w:lang w:bidi="ar"/>
              </w:rPr>
              <w:t>工程地震</w:t>
            </w:r>
          </w:p>
        </w:tc>
        <w:tc>
          <w:tcPr>
            <w:tcW w:w="1539" w:type="pct"/>
            <w:tcBorders>
              <w:top w:val="single" w:color="auto" w:sz="4" w:space="0"/>
              <w:left w:val="single" w:color="auto" w:sz="4" w:space="0"/>
              <w:bottom w:val="single" w:color="auto" w:sz="4" w:space="0"/>
              <w:right w:val="single" w:color="auto" w:sz="4" w:space="0"/>
            </w:tcBorders>
            <w:shd w:val="clear" w:color="auto" w:fill="auto"/>
            <w:vAlign w:val="center"/>
          </w:tcPr>
          <w:p w14:paraId="6F7E9E41">
            <w:pPr>
              <w:keepNext w:val="0"/>
              <w:keepLines w:val="0"/>
              <w:pageBreakBefore w:val="0"/>
              <w:widowControl w:val="0"/>
              <w:kinsoku/>
              <w:wordWrap/>
              <w:overflowPunct/>
              <w:topLinePunct w:val="0"/>
              <w:autoSpaceDE/>
              <w:autoSpaceDN/>
              <w:bidi w:val="0"/>
              <w:adjustRightInd/>
              <w:snapToGrid/>
              <w:ind w:left="0" w:firstLine="0" w:firstLineChars="0"/>
              <w:jc w:val="center"/>
              <w:textAlignment w:val="auto"/>
              <w:rPr>
                <w:rFonts w:hint="eastAsia" w:ascii="仿宋_GB2312" w:hAnsi="仿宋_GB2312" w:eastAsia="仿宋_GB2312" w:cs="仿宋_GB2312"/>
                <w:sz w:val="24"/>
                <w:lang w:val="en-US" w:eastAsia="zh-CN" w:bidi="ar"/>
              </w:rPr>
            </w:pPr>
            <w:r>
              <w:rPr>
                <w:rFonts w:hint="eastAsia" w:ascii="仿宋_GB2312" w:hAnsi="仿宋_GB2312" w:eastAsia="仿宋_GB2312" w:cs="仿宋_GB2312"/>
                <w:sz w:val="24"/>
                <w:lang w:bidi="ar"/>
              </w:rPr>
              <w:t>广西壮族自治区震灾风险防治中心</w:t>
            </w:r>
          </w:p>
        </w:tc>
        <w:tc>
          <w:tcPr>
            <w:tcW w:w="1539" w:type="pct"/>
            <w:tcBorders>
              <w:top w:val="single" w:color="auto" w:sz="4" w:space="0"/>
              <w:left w:val="single" w:color="auto" w:sz="4" w:space="0"/>
              <w:bottom w:val="single" w:color="auto" w:sz="4" w:space="0"/>
              <w:right w:val="single" w:color="auto" w:sz="4" w:space="0"/>
            </w:tcBorders>
            <w:vAlign w:val="center"/>
          </w:tcPr>
          <w:p w14:paraId="2E195509">
            <w:pPr>
              <w:keepNext w:val="0"/>
              <w:keepLines w:val="0"/>
              <w:pageBreakBefore w:val="0"/>
              <w:widowControl w:val="0"/>
              <w:kinsoku/>
              <w:wordWrap/>
              <w:overflowPunct/>
              <w:topLinePunct w:val="0"/>
              <w:autoSpaceDE/>
              <w:autoSpaceDN/>
              <w:bidi w:val="0"/>
              <w:adjustRightInd/>
              <w:snapToGrid/>
              <w:ind w:left="0" w:firstLine="0" w:firstLineChars="0"/>
              <w:jc w:val="center"/>
              <w:textAlignment w:val="auto"/>
              <w:rPr>
                <w:rFonts w:hint="eastAsia" w:ascii="仿宋_GB2312" w:hAnsi="仿宋_GB2312" w:eastAsia="仿宋_GB2312" w:cs="仿宋_GB2312"/>
                <w:sz w:val="24"/>
                <w:lang w:bidi="ar"/>
              </w:rPr>
            </w:pPr>
            <w:r>
              <w:rPr>
                <w:rFonts w:hint="eastAsia" w:ascii="仿宋_GB2312" w:hAnsi="仿宋_GB2312" w:eastAsia="仿宋_GB2312" w:cs="仿宋_GB2312"/>
                <w:sz w:val="24"/>
                <w:lang w:bidi="ar"/>
              </w:rPr>
              <w:t>参与标准文本及编制说明的编写;组织开展标准征求意见会;对标准实施情况进行总结分析，不断对标准提出修正意见。</w:t>
            </w:r>
          </w:p>
        </w:tc>
      </w:tr>
      <w:tr w14:paraId="2E0C5BDA">
        <w:tblPrEx>
          <w:tblCellMar>
            <w:top w:w="0" w:type="dxa"/>
            <w:left w:w="108" w:type="dxa"/>
            <w:bottom w:w="0" w:type="dxa"/>
            <w:right w:w="108" w:type="dxa"/>
          </w:tblCellMar>
        </w:tblPrEx>
        <w:trPr>
          <w:cantSplit/>
          <w:trHeight w:val="732" w:hRule="atLeast"/>
        </w:trPr>
        <w:tc>
          <w:tcPr>
            <w:tcW w:w="597" w:type="pct"/>
            <w:tcBorders>
              <w:top w:val="single" w:color="auto" w:sz="4" w:space="0"/>
              <w:left w:val="single" w:color="auto" w:sz="4" w:space="0"/>
              <w:bottom w:val="single" w:color="auto" w:sz="4" w:space="0"/>
              <w:right w:val="single" w:color="008000" w:sz="4" w:space="0"/>
            </w:tcBorders>
            <w:shd w:val="clear" w:color="auto" w:fill="auto"/>
            <w:vAlign w:val="center"/>
          </w:tcPr>
          <w:p w14:paraId="0C35BAD0">
            <w:pPr>
              <w:keepNext w:val="0"/>
              <w:keepLines w:val="0"/>
              <w:pageBreakBefore w:val="0"/>
              <w:widowControl w:val="0"/>
              <w:kinsoku/>
              <w:wordWrap/>
              <w:overflowPunct/>
              <w:topLinePunct w:val="0"/>
              <w:autoSpaceDE/>
              <w:autoSpaceDN/>
              <w:bidi w:val="0"/>
              <w:adjustRightInd/>
              <w:snapToGrid/>
              <w:ind w:left="0" w:firstLine="0" w:firstLineChars="0"/>
              <w:jc w:val="center"/>
              <w:textAlignment w:val="auto"/>
              <w:rPr>
                <w:rFonts w:hint="eastAsia" w:ascii="仿宋_GB2312" w:hAnsi="仿宋_GB2312" w:eastAsia="仿宋_GB2312" w:cs="仿宋_GB2312"/>
                <w:sz w:val="24"/>
                <w:lang w:bidi="ar"/>
              </w:rPr>
            </w:pPr>
            <w:r>
              <w:rPr>
                <w:rFonts w:hint="eastAsia" w:ascii="仿宋_GB2312" w:hAnsi="仿宋_GB2312" w:eastAsia="仿宋_GB2312" w:cs="仿宋_GB2312"/>
                <w:sz w:val="24"/>
                <w:lang w:bidi="ar"/>
              </w:rPr>
              <w:t>南义乐</w:t>
            </w:r>
          </w:p>
        </w:tc>
        <w:tc>
          <w:tcPr>
            <w:tcW w:w="597" w:type="pct"/>
            <w:tcBorders>
              <w:top w:val="single" w:color="auto" w:sz="4" w:space="0"/>
              <w:left w:val="single" w:color="auto" w:sz="4" w:space="0"/>
              <w:bottom w:val="single" w:color="auto" w:sz="4" w:space="0"/>
              <w:right w:val="single" w:color="auto" w:sz="4" w:space="0"/>
            </w:tcBorders>
            <w:shd w:val="clear" w:color="auto" w:fill="auto"/>
            <w:vAlign w:val="center"/>
          </w:tcPr>
          <w:p w14:paraId="636FEF34">
            <w:pPr>
              <w:keepNext w:val="0"/>
              <w:keepLines w:val="0"/>
              <w:pageBreakBefore w:val="0"/>
              <w:widowControl w:val="0"/>
              <w:kinsoku/>
              <w:wordWrap/>
              <w:overflowPunct/>
              <w:topLinePunct w:val="0"/>
              <w:autoSpaceDE/>
              <w:autoSpaceDN/>
              <w:bidi w:val="0"/>
              <w:adjustRightInd/>
              <w:snapToGrid/>
              <w:ind w:left="0" w:firstLine="0" w:firstLineChars="0"/>
              <w:jc w:val="center"/>
              <w:textAlignment w:val="auto"/>
              <w:rPr>
                <w:rFonts w:hint="eastAsia" w:ascii="仿宋_GB2312" w:hAnsi="仿宋_GB2312" w:eastAsia="仿宋_GB2312" w:cs="仿宋_GB2312"/>
                <w:sz w:val="24"/>
                <w:lang w:bidi="ar"/>
              </w:rPr>
            </w:pPr>
            <w:r>
              <w:rPr>
                <w:rFonts w:hint="eastAsia" w:ascii="仿宋_GB2312" w:hAnsi="仿宋_GB2312" w:eastAsia="仿宋_GB2312" w:cs="仿宋_GB2312"/>
                <w:sz w:val="24"/>
                <w:lang w:bidi="ar"/>
              </w:rPr>
              <w:t>主任</w:t>
            </w:r>
            <w:bookmarkStart w:id="5" w:name="_GoBack"/>
            <w:bookmarkEnd w:id="5"/>
          </w:p>
        </w:tc>
        <w:tc>
          <w:tcPr>
            <w:tcW w:w="727" w:type="pct"/>
            <w:tcBorders>
              <w:top w:val="single" w:color="000000" w:sz="2" w:space="0"/>
              <w:left w:val="single" w:color="auto" w:sz="4" w:space="0"/>
              <w:bottom w:val="single" w:color="auto" w:sz="4" w:space="0"/>
              <w:right w:val="single" w:color="auto" w:sz="4" w:space="0"/>
            </w:tcBorders>
            <w:shd w:val="clear" w:color="auto" w:fill="auto"/>
            <w:vAlign w:val="center"/>
          </w:tcPr>
          <w:p w14:paraId="741390D2">
            <w:pPr>
              <w:keepNext w:val="0"/>
              <w:keepLines w:val="0"/>
              <w:pageBreakBefore w:val="0"/>
              <w:widowControl w:val="0"/>
              <w:kinsoku/>
              <w:wordWrap/>
              <w:overflowPunct/>
              <w:topLinePunct w:val="0"/>
              <w:autoSpaceDE/>
              <w:autoSpaceDN/>
              <w:bidi w:val="0"/>
              <w:adjustRightInd/>
              <w:snapToGrid/>
              <w:ind w:left="0" w:firstLine="0" w:firstLineChars="0"/>
              <w:jc w:val="center"/>
              <w:textAlignment w:val="auto"/>
              <w:rPr>
                <w:rFonts w:hint="eastAsia" w:ascii="仿宋_GB2312" w:hAnsi="仿宋_GB2312" w:eastAsia="仿宋_GB2312" w:cs="仿宋_GB2312"/>
                <w:sz w:val="24"/>
                <w:lang w:bidi="ar"/>
              </w:rPr>
            </w:pPr>
            <w:r>
              <w:rPr>
                <w:rFonts w:hint="eastAsia" w:ascii="仿宋_GB2312" w:hAnsi="仿宋_GB2312" w:eastAsia="仿宋_GB2312" w:cs="仿宋_GB2312"/>
                <w:sz w:val="24"/>
                <w:lang w:bidi="ar"/>
              </w:rPr>
              <w:t>工程地震</w:t>
            </w:r>
          </w:p>
        </w:tc>
        <w:tc>
          <w:tcPr>
            <w:tcW w:w="1539" w:type="pct"/>
            <w:tcBorders>
              <w:top w:val="single" w:color="auto" w:sz="4" w:space="0"/>
              <w:left w:val="single" w:color="auto" w:sz="4" w:space="0"/>
              <w:bottom w:val="single" w:color="auto" w:sz="4" w:space="0"/>
              <w:right w:val="single" w:color="auto" w:sz="4" w:space="0"/>
            </w:tcBorders>
            <w:shd w:val="clear" w:color="auto" w:fill="auto"/>
            <w:vAlign w:val="center"/>
          </w:tcPr>
          <w:p w14:paraId="227CE0EC">
            <w:pPr>
              <w:keepNext w:val="0"/>
              <w:keepLines w:val="0"/>
              <w:pageBreakBefore w:val="0"/>
              <w:widowControl w:val="0"/>
              <w:kinsoku/>
              <w:wordWrap/>
              <w:overflowPunct/>
              <w:topLinePunct w:val="0"/>
              <w:autoSpaceDE/>
              <w:autoSpaceDN/>
              <w:bidi w:val="0"/>
              <w:adjustRightInd/>
              <w:snapToGrid/>
              <w:ind w:left="0" w:firstLine="0" w:firstLineChars="0"/>
              <w:jc w:val="center"/>
              <w:textAlignment w:val="auto"/>
              <w:rPr>
                <w:rFonts w:hint="eastAsia" w:ascii="仿宋_GB2312" w:hAnsi="仿宋_GB2312" w:eastAsia="仿宋_GB2312" w:cs="仿宋_GB2312"/>
                <w:sz w:val="24"/>
                <w:lang w:bidi="ar"/>
              </w:rPr>
            </w:pPr>
            <w:r>
              <w:rPr>
                <w:rFonts w:hint="eastAsia" w:ascii="仿宋_GB2312" w:hAnsi="仿宋_GB2312" w:eastAsia="仿宋_GB2312" w:cs="仿宋_GB2312"/>
                <w:sz w:val="24"/>
                <w:lang w:bidi="ar"/>
              </w:rPr>
              <w:t>广西壮族自治区防震减灾和紧急救援办公室</w:t>
            </w:r>
          </w:p>
        </w:tc>
        <w:tc>
          <w:tcPr>
            <w:tcW w:w="1539" w:type="pct"/>
            <w:tcBorders>
              <w:top w:val="single" w:color="auto" w:sz="4" w:space="0"/>
              <w:left w:val="single" w:color="auto" w:sz="4" w:space="0"/>
              <w:bottom w:val="single" w:color="auto" w:sz="4" w:space="0"/>
              <w:right w:val="single" w:color="auto" w:sz="4" w:space="0"/>
            </w:tcBorders>
            <w:vAlign w:val="center"/>
          </w:tcPr>
          <w:p w14:paraId="2AB23A29">
            <w:pPr>
              <w:keepNext w:val="0"/>
              <w:keepLines w:val="0"/>
              <w:pageBreakBefore w:val="0"/>
              <w:widowControl w:val="0"/>
              <w:kinsoku/>
              <w:wordWrap/>
              <w:overflowPunct/>
              <w:topLinePunct w:val="0"/>
              <w:autoSpaceDE/>
              <w:autoSpaceDN/>
              <w:bidi w:val="0"/>
              <w:adjustRightInd/>
              <w:snapToGrid/>
              <w:ind w:left="0" w:firstLine="0" w:firstLineChars="0"/>
              <w:jc w:val="center"/>
              <w:textAlignment w:val="auto"/>
              <w:rPr>
                <w:rFonts w:hint="eastAsia" w:ascii="仿宋_GB2312" w:hAnsi="仿宋_GB2312" w:eastAsia="仿宋_GB2312" w:cs="仿宋_GB2312"/>
                <w:sz w:val="24"/>
                <w:lang w:bidi="ar"/>
              </w:rPr>
            </w:pPr>
            <w:r>
              <w:rPr>
                <w:rFonts w:hint="eastAsia" w:ascii="仿宋_GB2312" w:hAnsi="仿宋_GB2312" w:eastAsia="仿宋_GB2312" w:cs="仿宋_GB2312"/>
                <w:sz w:val="24"/>
                <w:lang w:bidi="ar"/>
              </w:rPr>
              <w:t>参与标准文本及编制说明的编写;组织开展标准征求意见会;对标准实施情况进行总结分析，不断对标准提出修正意见。</w:t>
            </w:r>
          </w:p>
        </w:tc>
      </w:tr>
      <w:tr w14:paraId="795455FB">
        <w:tblPrEx>
          <w:tblCellMar>
            <w:top w:w="0" w:type="dxa"/>
            <w:left w:w="108" w:type="dxa"/>
            <w:bottom w:w="0" w:type="dxa"/>
            <w:right w:w="108" w:type="dxa"/>
          </w:tblCellMar>
        </w:tblPrEx>
        <w:trPr>
          <w:cantSplit/>
          <w:trHeight w:val="517" w:hRule="atLeast"/>
        </w:trPr>
        <w:tc>
          <w:tcPr>
            <w:tcW w:w="597" w:type="pct"/>
            <w:tcBorders>
              <w:top w:val="single" w:color="auto" w:sz="4" w:space="0"/>
              <w:left w:val="single" w:color="auto" w:sz="4" w:space="0"/>
              <w:bottom w:val="single" w:color="auto" w:sz="4" w:space="0"/>
              <w:right w:val="single" w:color="008000" w:sz="4" w:space="0"/>
            </w:tcBorders>
            <w:vAlign w:val="center"/>
          </w:tcPr>
          <w:p w14:paraId="23F3CAD9">
            <w:pPr>
              <w:keepNext w:val="0"/>
              <w:keepLines w:val="0"/>
              <w:pageBreakBefore w:val="0"/>
              <w:widowControl w:val="0"/>
              <w:kinsoku/>
              <w:wordWrap/>
              <w:overflowPunct/>
              <w:topLinePunct w:val="0"/>
              <w:autoSpaceDE/>
              <w:autoSpaceDN/>
              <w:bidi w:val="0"/>
              <w:adjustRightInd/>
              <w:snapToGrid/>
              <w:ind w:left="0" w:firstLine="0" w:firstLineChars="0"/>
              <w:jc w:val="center"/>
              <w:textAlignment w:val="auto"/>
              <w:rPr>
                <w:rFonts w:hint="eastAsia" w:ascii="仿宋_GB2312" w:hAnsi="仿宋_GB2312" w:eastAsia="仿宋_GB2312" w:cs="仿宋_GB2312"/>
                <w:sz w:val="24"/>
                <w:lang w:bidi="ar"/>
              </w:rPr>
            </w:pPr>
            <w:r>
              <w:rPr>
                <w:rFonts w:hint="eastAsia" w:ascii="仿宋_GB2312" w:hAnsi="仿宋_GB2312" w:eastAsia="仿宋_GB2312" w:cs="仿宋_GB2312"/>
                <w:sz w:val="24"/>
                <w:lang w:bidi="ar"/>
              </w:rPr>
              <w:t>李</w:t>
            </w:r>
            <w:r>
              <w:rPr>
                <w:rFonts w:hint="eastAsia" w:ascii="仿宋_GB2312" w:hAnsi="仿宋_GB2312" w:eastAsia="仿宋_GB2312" w:cs="仿宋_GB2312"/>
                <w:sz w:val="24"/>
                <w:lang w:val="en-US" w:eastAsia="zh-CN" w:bidi="ar"/>
              </w:rPr>
              <w:t xml:space="preserve">  </w:t>
            </w:r>
            <w:r>
              <w:rPr>
                <w:rFonts w:hint="eastAsia" w:ascii="仿宋_GB2312" w:hAnsi="仿宋_GB2312" w:eastAsia="仿宋_GB2312" w:cs="仿宋_GB2312"/>
                <w:sz w:val="24"/>
                <w:lang w:bidi="ar"/>
              </w:rPr>
              <w:t>蕾</w:t>
            </w:r>
          </w:p>
        </w:tc>
        <w:tc>
          <w:tcPr>
            <w:tcW w:w="597" w:type="pct"/>
            <w:tcBorders>
              <w:top w:val="single" w:color="auto" w:sz="4" w:space="0"/>
              <w:left w:val="single" w:color="auto" w:sz="4" w:space="0"/>
              <w:bottom w:val="single" w:color="auto" w:sz="4" w:space="0"/>
              <w:right w:val="single" w:color="auto" w:sz="4" w:space="0"/>
            </w:tcBorders>
            <w:vAlign w:val="center"/>
          </w:tcPr>
          <w:p w14:paraId="5AB9AB9D">
            <w:pPr>
              <w:keepNext w:val="0"/>
              <w:keepLines w:val="0"/>
              <w:pageBreakBefore w:val="0"/>
              <w:widowControl w:val="0"/>
              <w:kinsoku/>
              <w:wordWrap/>
              <w:overflowPunct/>
              <w:topLinePunct w:val="0"/>
              <w:autoSpaceDE/>
              <w:autoSpaceDN/>
              <w:bidi w:val="0"/>
              <w:adjustRightInd/>
              <w:snapToGrid/>
              <w:ind w:left="0" w:firstLine="0" w:firstLineChars="0"/>
              <w:jc w:val="center"/>
              <w:textAlignment w:val="auto"/>
              <w:rPr>
                <w:rFonts w:hint="eastAsia" w:ascii="仿宋_GB2312" w:hAnsi="仿宋_GB2312" w:eastAsia="仿宋_GB2312" w:cs="仿宋_GB2312"/>
                <w:sz w:val="24"/>
                <w:lang w:bidi="ar"/>
              </w:rPr>
            </w:pPr>
            <w:r>
              <w:rPr>
                <w:rFonts w:hint="eastAsia" w:ascii="仿宋_GB2312" w:hAnsi="仿宋_GB2312" w:eastAsia="仿宋_GB2312" w:cs="仿宋_GB2312"/>
                <w:sz w:val="24"/>
                <w:lang w:bidi="ar"/>
              </w:rPr>
              <w:t>高级工程师</w:t>
            </w:r>
          </w:p>
        </w:tc>
        <w:tc>
          <w:tcPr>
            <w:tcW w:w="727" w:type="pct"/>
            <w:tcBorders>
              <w:top w:val="single" w:color="000000" w:sz="2" w:space="0"/>
              <w:left w:val="single" w:color="auto" w:sz="4" w:space="0"/>
              <w:bottom w:val="single" w:color="auto" w:sz="4" w:space="0"/>
              <w:right w:val="single" w:color="auto" w:sz="4" w:space="0"/>
            </w:tcBorders>
            <w:vAlign w:val="center"/>
          </w:tcPr>
          <w:p w14:paraId="1FF99C80">
            <w:pPr>
              <w:keepNext w:val="0"/>
              <w:keepLines w:val="0"/>
              <w:pageBreakBefore w:val="0"/>
              <w:widowControl w:val="0"/>
              <w:kinsoku/>
              <w:wordWrap/>
              <w:overflowPunct/>
              <w:topLinePunct w:val="0"/>
              <w:autoSpaceDE/>
              <w:autoSpaceDN/>
              <w:bidi w:val="0"/>
              <w:adjustRightInd/>
              <w:snapToGrid/>
              <w:ind w:left="0" w:firstLine="0" w:firstLineChars="0"/>
              <w:jc w:val="center"/>
              <w:textAlignment w:val="auto"/>
              <w:rPr>
                <w:rFonts w:hint="eastAsia" w:ascii="仿宋_GB2312" w:hAnsi="仿宋_GB2312" w:eastAsia="仿宋_GB2312" w:cs="仿宋_GB2312"/>
                <w:sz w:val="24"/>
                <w:lang w:bidi="ar"/>
              </w:rPr>
            </w:pPr>
            <w:r>
              <w:rPr>
                <w:rFonts w:hint="eastAsia" w:ascii="仿宋_GB2312" w:hAnsi="仿宋_GB2312" w:eastAsia="仿宋_GB2312" w:cs="仿宋_GB2312"/>
                <w:sz w:val="24"/>
                <w:lang w:bidi="ar"/>
              </w:rPr>
              <w:t>工程地震</w:t>
            </w:r>
          </w:p>
        </w:tc>
        <w:tc>
          <w:tcPr>
            <w:tcW w:w="1539" w:type="pct"/>
            <w:tcBorders>
              <w:top w:val="single" w:color="auto" w:sz="4" w:space="0"/>
              <w:left w:val="single" w:color="auto" w:sz="4" w:space="0"/>
              <w:bottom w:val="single" w:color="auto" w:sz="4" w:space="0"/>
              <w:right w:val="single" w:color="auto" w:sz="4" w:space="0"/>
            </w:tcBorders>
            <w:vAlign w:val="center"/>
          </w:tcPr>
          <w:p w14:paraId="13B35F05">
            <w:pPr>
              <w:keepNext w:val="0"/>
              <w:keepLines w:val="0"/>
              <w:pageBreakBefore w:val="0"/>
              <w:widowControl w:val="0"/>
              <w:kinsoku/>
              <w:wordWrap/>
              <w:overflowPunct/>
              <w:topLinePunct w:val="0"/>
              <w:autoSpaceDE/>
              <w:autoSpaceDN/>
              <w:bidi w:val="0"/>
              <w:adjustRightInd/>
              <w:snapToGrid/>
              <w:ind w:left="0" w:firstLine="0" w:firstLineChars="0"/>
              <w:jc w:val="center"/>
              <w:textAlignment w:val="auto"/>
              <w:rPr>
                <w:rFonts w:hint="eastAsia" w:ascii="仿宋_GB2312" w:hAnsi="仿宋_GB2312" w:eastAsia="仿宋_GB2312" w:cs="仿宋_GB2312"/>
                <w:sz w:val="24"/>
                <w:lang w:bidi="ar"/>
              </w:rPr>
            </w:pPr>
            <w:r>
              <w:rPr>
                <w:rFonts w:hint="eastAsia" w:ascii="仿宋_GB2312" w:hAnsi="仿宋_GB2312" w:eastAsia="仿宋_GB2312" w:cs="仿宋_GB2312"/>
                <w:sz w:val="24"/>
                <w:lang w:bidi="ar"/>
              </w:rPr>
              <w:t>广西壮族自治区防震减灾和紧急救援办公室</w:t>
            </w:r>
          </w:p>
        </w:tc>
        <w:tc>
          <w:tcPr>
            <w:tcW w:w="1539" w:type="pct"/>
            <w:tcBorders>
              <w:top w:val="single" w:color="auto" w:sz="4" w:space="0"/>
              <w:left w:val="single" w:color="auto" w:sz="4" w:space="0"/>
              <w:bottom w:val="single" w:color="auto" w:sz="4" w:space="0"/>
              <w:right w:val="single" w:color="auto" w:sz="4" w:space="0"/>
            </w:tcBorders>
            <w:vAlign w:val="center"/>
          </w:tcPr>
          <w:p w14:paraId="45F594A5">
            <w:pPr>
              <w:keepNext w:val="0"/>
              <w:keepLines w:val="0"/>
              <w:pageBreakBefore w:val="0"/>
              <w:widowControl w:val="0"/>
              <w:kinsoku/>
              <w:wordWrap/>
              <w:overflowPunct/>
              <w:topLinePunct w:val="0"/>
              <w:autoSpaceDE/>
              <w:autoSpaceDN/>
              <w:bidi w:val="0"/>
              <w:adjustRightInd/>
              <w:snapToGrid/>
              <w:ind w:left="0" w:firstLine="0" w:firstLineChars="0"/>
              <w:jc w:val="center"/>
              <w:textAlignment w:val="auto"/>
              <w:rPr>
                <w:rFonts w:ascii="仿宋_GB2312" w:hAnsi="仿宋_GB2312" w:eastAsia="仿宋_GB2312" w:cs="仿宋_GB2312"/>
                <w:sz w:val="24"/>
                <w:lang w:bidi="ar"/>
              </w:rPr>
            </w:pPr>
            <w:r>
              <w:rPr>
                <w:rFonts w:hint="eastAsia" w:ascii="仿宋_GB2312" w:hAnsi="仿宋_GB2312" w:eastAsia="仿宋_GB2312" w:cs="仿宋_GB2312"/>
                <w:sz w:val="24"/>
                <w:lang w:bidi="ar"/>
              </w:rPr>
              <w:t>参与标准编制工作，组织人员进行标准发布后的宣贯培训。</w:t>
            </w:r>
          </w:p>
        </w:tc>
      </w:tr>
      <w:tr w14:paraId="4DA2C65D">
        <w:tblPrEx>
          <w:tblCellMar>
            <w:top w:w="0" w:type="dxa"/>
            <w:left w:w="108" w:type="dxa"/>
            <w:bottom w:w="0" w:type="dxa"/>
            <w:right w:w="108" w:type="dxa"/>
          </w:tblCellMar>
        </w:tblPrEx>
        <w:trPr>
          <w:cantSplit/>
          <w:trHeight w:val="517" w:hRule="atLeast"/>
        </w:trPr>
        <w:tc>
          <w:tcPr>
            <w:tcW w:w="597" w:type="pct"/>
            <w:tcBorders>
              <w:top w:val="single" w:color="auto" w:sz="4" w:space="0"/>
              <w:left w:val="single" w:color="auto" w:sz="4" w:space="0"/>
              <w:bottom w:val="single" w:color="auto" w:sz="4" w:space="0"/>
              <w:right w:val="single" w:color="008000" w:sz="4" w:space="0"/>
            </w:tcBorders>
            <w:vAlign w:val="center"/>
          </w:tcPr>
          <w:p w14:paraId="672699BD">
            <w:pPr>
              <w:keepNext w:val="0"/>
              <w:keepLines w:val="0"/>
              <w:pageBreakBefore w:val="0"/>
              <w:widowControl w:val="0"/>
              <w:kinsoku/>
              <w:wordWrap/>
              <w:overflowPunct/>
              <w:topLinePunct w:val="0"/>
              <w:autoSpaceDE/>
              <w:autoSpaceDN/>
              <w:bidi w:val="0"/>
              <w:adjustRightInd/>
              <w:snapToGrid/>
              <w:ind w:left="0" w:firstLine="0" w:firstLineChars="0"/>
              <w:jc w:val="center"/>
              <w:textAlignment w:val="auto"/>
              <w:rPr>
                <w:rFonts w:hint="eastAsia" w:ascii="仿宋_GB2312" w:hAnsi="仿宋_GB2312" w:eastAsia="仿宋_GB2312" w:cs="仿宋_GB2312"/>
                <w:sz w:val="24"/>
                <w:lang w:bidi="ar"/>
              </w:rPr>
            </w:pPr>
            <w:r>
              <w:rPr>
                <w:rFonts w:hint="eastAsia" w:ascii="仿宋_GB2312" w:hAnsi="仿宋_GB2312" w:eastAsia="仿宋_GB2312" w:cs="仿宋_GB2312"/>
                <w:sz w:val="24"/>
                <w:lang w:bidi="ar"/>
              </w:rPr>
              <w:t>赵修敏</w:t>
            </w:r>
          </w:p>
        </w:tc>
        <w:tc>
          <w:tcPr>
            <w:tcW w:w="597" w:type="pct"/>
            <w:tcBorders>
              <w:top w:val="single" w:color="auto" w:sz="4" w:space="0"/>
              <w:left w:val="single" w:color="auto" w:sz="4" w:space="0"/>
              <w:bottom w:val="single" w:color="auto" w:sz="4" w:space="0"/>
              <w:right w:val="single" w:color="auto" w:sz="4" w:space="0"/>
            </w:tcBorders>
            <w:vAlign w:val="center"/>
          </w:tcPr>
          <w:p w14:paraId="4EE4C89E">
            <w:pPr>
              <w:keepNext w:val="0"/>
              <w:keepLines w:val="0"/>
              <w:pageBreakBefore w:val="0"/>
              <w:widowControl w:val="0"/>
              <w:kinsoku/>
              <w:wordWrap/>
              <w:overflowPunct/>
              <w:topLinePunct w:val="0"/>
              <w:autoSpaceDE/>
              <w:autoSpaceDN/>
              <w:bidi w:val="0"/>
              <w:adjustRightInd/>
              <w:snapToGrid/>
              <w:ind w:left="0" w:firstLine="0" w:firstLineChars="0"/>
              <w:jc w:val="center"/>
              <w:textAlignment w:val="auto"/>
              <w:rPr>
                <w:rFonts w:hint="eastAsia" w:ascii="仿宋_GB2312" w:hAnsi="仿宋_GB2312" w:eastAsia="仿宋_GB2312" w:cs="仿宋_GB2312"/>
                <w:sz w:val="24"/>
                <w:lang w:bidi="ar"/>
              </w:rPr>
            </w:pPr>
            <w:r>
              <w:rPr>
                <w:rFonts w:hint="eastAsia" w:ascii="仿宋_GB2312" w:hAnsi="仿宋_GB2312" w:eastAsia="仿宋_GB2312" w:cs="仿宋_GB2312"/>
                <w:sz w:val="24"/>
                <w:lang w:val="en-US" w:eastAsia="zh-CN" w:bidi="ar"/>
              </w:rPr>
              <w:t>高级工程师</w:t>
            </w:r>
          </w:p>
        </w:tc>
        <w:tc>
          <w:tcPr>
            <w:tcW w:w="727" w:type="pct"/>
            <w:tcBorders>
              <w:top w:val="single" w:color="000000" w:sz="2" w:space="0"/>
              <w:left w:val="single" w:color="auto" w:sz="4" w:space="0"/>
              <w:bottom w:val="single" w:color="auto" w:sz="4" w:space="0"/>
              <w:right w:val="single" w:color="auto" w:sz="4" w:space="0"/>
            </w:tcBorders>
            <w:vAlign w:val="center"/>
          </w:tcPr>
          <w:p w14:paraId="39F130E3">
            <w:pPr>
              <w:keepNext w:val="0"/>
              <w:keepLines w:val="0"/>
              <w:pageBreakBefore w:val="0"/>
              <w:widowControl w:val="0"/>
              <w:kinsoku/>
              <w:wordWrap/>
              <w:overflowPunct/>
              <w:topLinePunct w:val="0"/>
              <w:autoSpaceDE/>
              <w:autoSpaceDN/>
              <w:bidi w:val="0"/>
              <w:adjustRightInd/>
              <w:snapToGrid/>
              <w:ind w:left="0" w:firstLine="0" w:firstLineChars="0"/>
              <w:jc w:val="center"/>
              <w:textAlignment w:val="auto"/>
              <w:rPr>
                <w:rFonts w:hint="eastAsia" w:ascii="仿宋_GB2312" w:hAnsi="仿宋_GB2312" w:eastAsia="仿宋_GB2312" w:cs="仿宋_GB2312"/>
                <w:sz w:val="24"/>
                <w:lang w:bidi="ar"/>
              </w:rPr>
            </w:pPr>
            <w:r>
              <w:rPr>
                <w:rFonts w:hint="eastAsia" w:ascii="仿宋_GB2312" w:hAnsi="仿宋_GB2312" w:eastAsia="仿宋_GB2312" w:cs="仿宋_GB2312"/>
                <w:sz w:val="24"/>
                <w:lang w:bidi="ar"/>
              </w:rPr>
              <w:t>工程地震</w:t>
            </w:r>
          </w:p>
        </w:tc>
        <w:tc>
          <w:tcPr>
            <w:tcW w:w="1539" w:type="pct"/>
            <w:tcBorders>
              <w:top w:val="single" w:color="auto" w:sz="4" w:space="0"/>
              <w:left w:val="single" w:color="auto" w:sz="4" w:space="0"/>
              <w:bottom w:val="single" w:color="auto" w:sz="4" w:space="0"/>
              <w:right w:val="single" w:color="auto" w:sz="4" w:space="0"/>
            </w:tcBorders>
            <w:vAlign w:val="center"/>
          </w:tcPr>
          <w:p w14:paraId="7881E96D">
            <w:pPr>
              <w:keepNext w:val="0"/>
              <w:keepLines w:val="0"/>
              <w:pageBreakBefore w:val="0"/>
              <w:widowControl w:val="0"/>
              <w:kinsoku/>
              <w:wordWrap/>
              <w:overflowPunct/>
              <w:topLinePunct w:val="0"/>
              <w:autoSpaceDE/>
              <w:autoSpaceDN/>
              <w:bidi w:val="0"/>
              <w:adjustRightInd/>
              <w:snapToGrid/>
              <w:ind w:left="0" w:firstLine="0" w:firstLineChars="0"/>
              <w:jc w:val="center"/>
              <w:textAlignment w:val="auto"/>
              <w:rPr>
                <w:rFonts w:hint="eastAsia" w:ascii="仿宋_GB2312" w:hAnsi="仿宋_GB2312" w:eastAsia="仿宋_GB2312" w:cs="仿宋_GB2312"/>
                <w:sz w:val="24"/>
                <w:lang w:bidi="ar"/>
              </w:rPr>
            </w:pPr>
            <w:r>
              <w:rPr>
                <w:rFonts w:hint="eastAsia" w:ascii="仿宋_GB2312" w:hAnsi="仿宋_GB2312" w:eastAsia="仿宋_GB2312" w:cs="仿宋_GB2312"/>
                <w:sz w:val="24"/>
                <w:lang w:val="en-US" w:eastAsia="zh-CN" w:bidi="ar"/>
              </w:rPr>
              <w:t>广西壮族自治区震灾风险防治中心</w:t>
            </w:r>
          </w:p>
        </w:tc>
        <w:tc>
          <w:tcPr>
            <w:tcW w:w="1539" w:type="pct"/>
            <w:tcBorders>
              <w:top w:val="single" w:color="auto" w:sz="4" w:space="0"/>
              <w:left w:val="single" w:color="auto" w:sz="4" w:space="0"/>
              <w:bottom w:val="single" w:color="auto" w:sz="4" w:space="0"/>
              <w:right w:val="single" w:color="auto" w:sz="4" w:space="0"/>
            </w:tcBorders>
            <w:vAlign w:val="center"/>
          </w:tcPr>
          <w:p w14:paraId="74ED45FC">
            <w:pPr>
              <w:keepNext w:val="0"/>
              <w:keepLines w:val="0"/>
              <w:pageBreakBefore w:val="0"/>
              <w:widowControl w:val="0"/>
              <w:kinsoku/>
              <w:wordWrap/>
              <w:overflowPunct/>
              <w:topLinePunct w:val="0"/>
              <w:autoSpaceDE/>
              <w:autoSpaceDN/>
              <w:bidi w:val="0"/>
              <w:adjustRightInd/>
              <w:snapToGrid/>
              <w:ind w:left="0" w:firstLine="0" w:firstLineChars="0"/>
              <w:jc w:val="center"/>
              <w:textAlignment w:val="auto"/>
              <w:rPr>
                <w:rFonts w:ascii="仿宋_GB2312" w:hAnsi="仿宋_GB2312" w:eastAsia="仿宋_GB2312" w:cs="仿宋_GB2312"/>
                <w:sz w:val="24"/>
                <w:lang w:bidi="ar"/>
              </w:rPr>
            </w:pPr>
            <w:r>
              <w:rPr>
                <w:rFonts w:hint="eastAsia" w:ascii="仿宋_GB2312" w:hAnsi="仿宋_GB2312" w:eastAsia="仿宋_GB2312" w:cs="仿宋_GB2312"/>
                <w:sz w:val="24"/>
                <w:lang w:bidi="ar"/>
              </w:rPr>
              <w:t>参与标准文本及编制说明的编写；组织开展标准征求意见会；对标准实施情况进行总结分析，不断对标准提出修正意见。</w:t>
            </w:r>
          </w:p>
        </w:tc>
      </w:tr>
      <w:tr w14:paraId="425367DE">
        <w:tblPrEx>
          <w:tblCellMar>
            <w:top w:w="0" w:type="dxa"/>
            <w:left w:w="108" w:type="dxa"/>
            <w:bottom w:w="0" w:type="dxa"/>
            <w:right w:w="108" w:type="dxa"/>
          </w:tblCellMar>
        </w:tblPrEx>
        <w:trPr>
          <w:cantSplit/>
          <w:trHeight w:val="517" w:hRule="atLeast"/>
        </w:trPr>
        <w:tc>
          <w:tcPr>
            <w:tcW w:w="597" w:type="pct"/>
            <w:tcBorders>
              <w:top w:val="single" w:color="auto" w:sz="4" w:space="0"/>
              <w:left w:val="single" w:color="auto" w:sz="4" w:space="0"/>
              <w:bottom w:val="single" w:color="auto" w:sz="4" w:space="0"/>
              <w:right w:val="single" w:color="008000" w:sz="4" w:space="0"/>
            </w:tcBorders>
            <w:vAlign w:val="center"/>
          </w:tcPr>
          <w:p w14:paraId="78A0B453">
            <w:pPr>
              <w:keepNext w:val="0"/>
              <w:keepLines w:val="0"/>
              <w:pageBreakBefore w:val="0"/>
              <w:widowControl w:val="0"/>
              <w:kinsoku/>
              <w:wordWrap/>
              <w:overflowPunct/>
              <w:topLinePunct w:val="0"/>
              <w:autoSpaceDE/>
              <w:autoSpaceDN/>
              <w:bidi w:val="0"/>
              <w:adjustRightInd/>
              <w:snapToGrid/>
              <w:ind w:left="0" w:firstLine="0" w:firstLineChars="0"/>
              <w:jc w:val="center"/>
              <w:textAlignment w:val="auto"/>
              <w:rPr>
                <w:rFonts w:hint="eastAsia" w:ascii="仿宋_GB2312" w:hAnsi="仿宋_GB2312" w:eastAsia="仿宋_GB2312" w:cs="仿宋_GB2312"/>
                <w:sz w:val="24"/>
                <w:lang w:bidi="ar"/>
              </w:rPr>
            </w:pPr>
            <w:r>
              <w:rPr>
                <w:rFonts w:hint="eastAsia" w:ascii="仿宋_GB2312" w:hAnsi="仿宋_GB2312" w:eastAsia="仿宋_GB2312" w:cs="仿宋_GB2312"/>
                <w:sz w:val="24"/>
                <w:lang w:bidi="ar"/>
              </w:rPr>
              <w:t>何</w:t>
            </w:r>
            <w:r>
              <w:rPr>
                <w:rFonts w:hint="eastAsia" w:ascii="仿宋_GB2312" w:hAnsi="仿宋_GB2312" w:eastAsia="仿宋_GB2312" w:cs="仿宋_GB2312"/>
                <w:sz w:val="24"/>
                <w:lang w:val="en-US" w:eastAsia="zh-CN" w:bidi="ar"/>
              </w:rPr>
              <w:t xml:space="preserve">  </w:t>
            </w:r>
            <w:r>
              <w:rPr>
                <w:rFonts w:hint="eastAsia" w:ascii="仿宋_GB2312" w:hAnsi="仿宋_GB2312" w:eastAsia="仿宋_GB2312" w:cs="仿宋_GB2312"/>
                <w:sz w:val="24"/>
                <w:lang w:bidi="ar"/>
              </w:rPr>
              <w:t>声</w:t>
            </w:r>
          </w:p>
        </w:tc>
        <w:tc>
          <w:tcPr>
            <w:tcW w:w="597" w:type="pct"/>
            <w:tcBorders>
              <w:top w:val="single" w:color="auto" w:sz="4" w:space="0"/>
              <w:left w:val="single" w:color="auto" w:sz="4" w:space="0"/>
              <w:bottom w:val="single" w:color="auto" w:sz="4" w:space="0"/>
              <w:right w:val="single" w:color="auto" w:sz="4" w:space="0"/>
            </w:tcBorders>
            <w:vAlign w:val="center"/>
          </w:tcPr>
          <w:p w14:paraId="4832CC7D">
            <w:pPr>
              <w:keepNext w:val="0"/>
              <w:keepLines w:val="0"/>
              <w:pageBreakBefore w:val="0"/>
              <w:widowControl w:val="0"/>
              <w:kinsoku/>
              <w:wordWrap/>
              <w:overflowPunct/>
              <w:topLinePunct w:val="0"/>
              <w:autoSpaceDE/>
              <w:autoSpaceDN/>
              <w:bidi w:val="0"/>
              <w:adjustRightInd/>
              <w:snapToGrid/>
              <w:ind w:left="0" w:firstLine="0" w:firstLineChars="0"/>
              <w:jc w:val="center"/>
              <w:textAlignment w:val="auto"/>
              <w:rPr>
                <w:rFonts w:hint="eastAsia" w:ascii="仿宋_GB2312" w:hAnsi="仿宋_GB2312" w:eastAsia="仿宋_GB2312" w:cs="仿宋_GB2312"/>
                <w:sz w:val="24"/>
                <w:lang w:bidi="ar"/>
              </w:rPr>
            </w:pPr>
            <w:r>
              <w:rPr>
                <w:rFonts w:hint="eastAsia" w:ascii="仿宋_GB2312" w:hAnsi="仿宋_GB2312" w:eastAsia="仿宋_GB2312" w:cs="仿宋_GB2312"/>
                <w:sz w:val="24"/>
                <w:lang w:bidi="ar"/>
              </w:rPr>
              <w:t>工程师</w:t>
            </w:r>
          </w:p>
        </w:tc>
        <w:tc>
          <w:tcPr>
            <w:tcW w:w="727" w:type="pct"/>
            <w:tcBorders>
              <w:top w:val="single" w:color="000000" w:sz="2" w:space="0"/>
              <w:left w:val="single" w:color="auto" w:sz="4" w:space="0"/>
              <w:bottom w:val="single" w:color="auto" w:sz="4" w:space="0"/>
              <w:right w:val="single" w:color="auto" w:sz="4" w:space="0"/>
            </w:tcBorders>
            <w:vAlign w:val="center"/>
          </w:tcPr>
          <w:p w14:paraId="5FDBA675">
            <w:pPr>
              <w:keepNext w:val="0"/>
              <w:keepLines w:val="0"/>
              <w:pageBreakBefore w:val="0"/>
              <w:widowControl w:val="0"/>
              <w:kinsoku/>
              <w:wordWrap/>
              <w:overflowPunct/>
              <w:topLinePunct w:val="0"/>
              <w:autoSpaceDE/>
              <w:autoSpaceDN/>
              <w:bidi w:val="0"/>
              <w:adjustRightInd/>
              <w:snapToGrid/>
              <w:ind w:left="0" w:firstLine="0" w:firstLineChars="0"/>
              <w:jc w:val="center"/>
              <w:textAlignment w:val="auto"/>
              <w:rPr>
                <w:rFonts w:hint="eastAsia" w:ascii="仿宋_GB2312" w:hAnsi="仿宋_GB2312" w:eastAsia="仿宋_GB2312" w:cs="仿宋_GB2312"/>
                <w:sz w:val="24"/>
                <w:lang w:bidi="ar"/>
              </w:rPr>
            </w:pPr>
            <w:r>
              <w:rPr>
                <w:rFonts w:hint="eastAsia" w:ascii="仿宋_GB2312" w:hAnsi="仿宋_GB2312" w:eastAsia="仿宋_GB2312" w:cs="仿宋_GB2312"/>
                <w:sz w:val="24"/>
                <w:lang w:bidi="ar"/>
              </w:rPr>
              <w:t>工程地震</w:t>
            </w:r>
          </w:p>
        </w:tc>
        <w:tc>
          <w:tcPr>
            <w:tcW w:w="1539" w:type="pct"/>
            <w:tcBorders>
              <w:top w:val="single" w:color="auto" w:sz="4" w:space="0"/>
              <w:left w:val="single" w:color="auto" w:sz="4" w:space="0"/>
              <w:bottom w:val="single" w:color="auto" w:sz="4" w:space="0"/>
              <w:right w:val="single" w:color="auto" w:sz="4" w:space="0"/>
            </w:tcBorders>
            <w:vAlign w:val="center"/>
          </w:tcPr>
          <w:p w14:paraId="52695EDC">
            <w:pPr>
              <w:keepNext w:val="0"/>
              <w:keepLines w:val="0"/>
              <w:pageBreakBefore w:val="0"/>
              <w:widowControl w:val="0"/>
              <w:kinsoku/>
              <w:wordWrap/>
              <w:overflowPunct/>
              <w:topLinePunct w:val="0"/>
              <w:autoSpaceDE/>
              <w:autoSpaceDN/>
              <w:bidi w:val="0"/>
              <w:adjustRightInd/>
              <w:snapToGrid/>
              <w:ind w:left="0" w:firstLine="0" w:firstLineChars="0"/>
              <w:jc w:val="center"/>
              <w:textAlignment w:val="auto"/>
              <w:rPr>
                <w:rFonts w:hint="eastAsia" w:ascii="仿宋_GB2312" w:hAnsi="仿宋_GB2312" w:eastAsia="仿宋_GB2312" w:cs="仿宋_GB2312"/>
                <w:sz w:val="24"/>
                <w:lang w:bidi="ar"/>
              </w:rPr>
            </w:pPr>
            <w:r>
              <w:rPr>
                <w:rFonts w:hint="eastAsia" w:ascii="仿宋_GB2312" w:hAnsi="仿宋_GB2312" w:eastAsia="仿宋_GB2312" w:cs="仿宋_GB2312"/>
                <w:sz w:val="24"/>
                <w:lang w:bidi="ar"/>
              </w:rPr>
              <w:t>广西壮族自治区震灾风险防治中心工程师</w:t>
            </w:r>
          </w:p>
        </w:tc>
        <w:tc>
          <w:tcPr>
            <w:tcW w:w="1539" w:type="pct"/>
            <w:tcBorders>
              <w:top w:val="single" w:color="auto" w:sz="4" w:space="0"/>
              <w:left w:val="single" w:color="auto" w:sz="4" w:space="0"/>
              <w:bottom w:val="single" w:color="auto" w:sz="4" w:space="0"/>
              <w:right w:val="single" w:color="auto" w:sz="4" w:space="0"/>
            </w:tcBorders>
            <w:vAlign w:val="center"/>
          </w:tcPr>
          <w:p w14:paraId="088DC88C">
            <w:pPr>
              <w:keepNext w:val="0"/>
              <w:keepLines w:val="0"/>
              <w:pageBreakBefore w:val="0"/>
              <w:widowControl w:val="0"/>
              <w:kinsoku/>
              <w:wordWrap/>
              <w:overflowPunct/>
              <w:topLinePunct w:val="0"/>
              <w:autoSpaceDE/>
              <w:autoSpaceDN/>
              <w:bidi w:val="0"/>
              <w:adjustRightInd/>
              <w:snapToGrid/>
              <w:ind w:left="0" w:firstLine="0" w:firstLineChars="0"/>
              <w:jc w:val="center"/>
              <w:textAlignment w:val="auto"/>
              <w:rPr>
                <w:rFonts w:hint="eastAsia" w:ascii="仿宋_GB2312" w:hAnsi="仿宋_GB2312" w:eastAsia="仿宋_GB2312" w:cs="仿宋_GB2312"/>
                <w:sz w:val="24"/>
                <w:lang w:bidi="ar"/>
              </w:rPr>
            </w:pPr>
            <w:r>
              <w:rPr>
                <w:rFonts w:hint="eastAsia" w:ascii="仿宋_GB2312" w:hAnsi="仿宋_GB2312" w:eastAsia="仿宋_GB2312" w:cs="仿宋_GB2312"/>
                <w:sz w:val="24"/>
                <w:lang w:bidi="ar"/>
              </w:rPr>
              <w:t>参与标准文本及编制说明的编写；组织开展标准征求意见会；对标准实施情况进行总结分析，不断对标准提出修正意见。</w:t>
            </w:r>
          </w:p>
        </w:tc>
      </w:tr>
    </w:tbl>
    <w:p w14:paraId="6BE1CEB3">
      <w:pPr>
        <w:keepNext w:val="0"/>
        <w:keepLines w:val="0"/>
        <w:pageBreakBefore w:val="0"/>
        <w:kinsoku/>
        <w:overflowPunct/>
        <w:topLinePunct w:val="0"/>
        <w:autoSpaceDE w:val="0"/>
        <w:autoSpaceDN w:val="0"/>
        <w:bidi w:val="0"/>
        <w:adjustRightInd w:val="0"/>
        <w:snapToGrid/>
        <w:spacing w:line="560" w:lineRule="exact"/>
        <w:ind w:left="0" w:firstLine="640" w:firstLineChars="200"/>
        <w:jc w:val="left"/>
        <w:textAlignment w:val="auto"/>
        <w:rPr>
          <w:rFonts w:ascii="黑体" w:hAnsi="黑体" w:eastAsia="黑体" w:cs="仿宋_GB2312"/>
          <w:sz w:val="32"/>
          <w:szCs w:val="32"/>
        </w:rPr>
      </w:pPr>
      <w:r>
        <w:rPr>
          <w:rFonts w:hint="eastAsia" w:ascii="黑体" w:hAnsi="黑体" w:eastAsia="黑体" w:cs="仿宋_GB2312"/>
          <w:sz w:val="32"/>
          <w:szCs w:val="32"/>
        </w:rPr>
        <w:t>二、制定标准的必要性和意义</w:t>
      </w:r>
    </w:p>
    <w:p w14:paraId="0FA1DC2A">
      <w:pPr>
        <w:keepNext w:val="0"/>
        <w:keepLines w:val="0"/>
        <w:pageBreakBefore w:val="0"/>
        <w:kinsoku/>
        <w:overflowPunct/>
        <w:topLinePunct w:val="0"/>
        <w:autoSpaceDE w:val="0"/>
        <w:autoSpaceDN w:val="0"/>
        <w:bidi w:val="0"/>
        <w:adjustRightInd w:val="0"/>
        <w:snapToGrid/>
        <w:spacing w:line="560" w:lineRule="exact"/>
        <w:ind w:left="0" w:firstLine="640" w:firstLineChars="200"/>
        <w:textAlignment w:val="auto"/>
        <w:rPr>
          <w:rFonts w:hint="eastAsia" w:ascii="仿宋_GB2312" w:hAnsi="宋体" w:eastAsia="仿宋_GB2312"/>
          <w:sz w:val="32"/>
          <w:szCs w:val="28"/>
          <w:lang w:eastAsia="zh-CN"/>
        </w:rPr>
      </w:pPr>
      <w:r>
        <w:rPr>
          <w:rFonts w:hint="eastAsia" w:ascii="仿宋_GB2312" w:hAnsi="宋体" w:eastAsia="仿宋_GB2312"/>
          <w:sz w:val="32"/>
          <w:szCs w:val="28"/>
        </w:rPr>
        <w:t>《中华人民共和国防震减灾法》将地震安全性评价确立为地震灾害预防的基本法律制度，要求新建、扩建、改建建设工程必须达到抗震设防要求</w:t>
      </w:r>
      <w:r>
        <w:rPr>
          <w:rFonts w:hint="eastAsia" w:ascii="仿宋_GB2312" w:hAnsi="宋体"/>
          <w:sz w:val="32"/>
          <w:szCs w:val="28"/>
          <w:lang w:eastAsia="zh-CN"/>
        </w:rPr>
        <w:t>。</w:t>
      </w:r>
      <w:r>
        <w:rPr>
          <w:rFonts w:hint="eastAsia" w:ascii="仿宋_GB2312" w:hAnsi="宋体" w:eastAsia="仿宋_GB2312"/>
          <w:sz w:val="32"/>
          <w:szCs w:val="28"/>
        </w:rPr>
        <w:t>2026年4月18日发布的《广西重大工程地震安全性评价工作范围》进一步明确了10大类、37项工程</w:t>
      </w:r>
      <w:r>
        <w:rPr>
          <w:rFonts w:hint="eastAsia" w:ascii="仿宋_GB2312" w:hAnsi="宋体"/>
          <w:sz w:val="32"/>
          <w:szCs w:val="28"/>
          <w:lang w:eastAsia="zh-CN"/>
        </w:rPr>
        <w:t>，</w:t>
      </w:r>
      <w:r>
        <w:rPr>
          <w:rFonts w:hint="eastAsia" w:ascii="仿宋_GB2312" w:hAnsi="宋体" w:eastAsia="仿宋_GB2312"/>
          <w:sz w:val="32"/>
          <w:szCs w:val="28"/>
        </w:rPr>
        <w:t>涵盖交通运输、水利水电、核工程、超限高层建筑等重大基础设施必须开展地震安全性评价，旨在确保重大工程具备合理的抗御地震能力，有效减轻因建筑倒塌和次生灾害造成的人员伤亡与经济损失</w:t>
      </w:r>
      <w:r>
        <w:rPr>
          <w:rFonts w:hint="eastAsia" w:ascii="仿宋_GB2312" w:hAnsi="宋体"/>
          <w:sz w:val="32"/>
          <w:szCs w:val="28"/>
          <w:lang w:eastAsia="zh-CN"/>
        </w:rPr>
        <w:t>。</w:t>
      </w:r>
    </w:p>
    <w:p w14:paraId="77769A24">
      <w:pPr>
        <w:keepNext w:val="0"/>
        <w:keepLines w:val="0"/>
        <w:pageBreakBefore w:val="0"/>
        <w:kinsoku/>
        <w:overflowPunct/>
        <w:topLinePunct w:val="0"/>
        <w:autoSpaceDE w:val="0"/>
        <w:autoSpaceDN w:val="0"/>
        <w:bidi w:val="0"/>
        <w:adjustRightInd w:val="0"/>
        <w:snapToGrid/>
        <w:spacing w:line="560" w:lineRule="exact"/>
        <w:ind w:left="0" w:firstLine="640" w:firstLineChars="200"/>
        <w:textAlignment w:val="auto"/>
        <w:rPr>
          <w:rFonts w:hint="eastAsia" w:ascii="仿宋_GB2312" w:hAnsi="宋体" w:eastAsia="仿宋_GB2312"/>
          <w:sz w:val="32"/>
          <w:szCs w:val="28"/>
        </w:rPr>
      </w:pPr>
      <w:r>
        <w:rPr>
          <w:rFonts w:hint="eastAsia" w:ascii="仿宋_GB2312" w:hAnsi="宋体" w:eastAsia="仿宋_GB2312"/>
          <w:sz w:val="32"/>
          <w:szCs w:val="28"/>
        </w:rPr>
        <w:t>当前地震安全性评价工作主要包括区域地震活动性与构造评价、近场区构造评价、场地地质条件勘测、地震危险性分析、场地地震动参数确定及地震地质灾害评价等内容，但在现场工作中仍存在诸多难题：现场数据采集的准确性和完整性难以保证（如物探测线布设受地质环境限制），缺乏统一的操作流程和标准（如钻孔剪切波速原位测试的设备和方法无统一规范），工作人员专业素质和技能水平有待提升，现场工作与后续工程设计和施工环节衔接不紧密（地质灾害调查粗放、对施工指导意义不高），新技术（低空无人机、三维地质建模、人工智能）应用推广不足，此外还面临技术标准执行不严、市场竞争无序、部门协同与数据共享不畅、成本与工期压力影响工作质量等问题。</w:t>
      </w:r>
    </w:p>
    <w:p w14:paraId="43F7A120">
      <w:pPr>
        <w:keepNext w:val="0"/>
        <w:keepLines w:val="0"/>
        <w:pageBreakBefore w:val="0"/>
        <w:kinsoku/>
        <w:overflowPunct/>
        <w:topLinePunct w:val="0"/>
        <w:autoSpaceDE w:val="0"/>
        <w:autoSpaceDN w:val="0"/>
        <w:bidi w:val="0"/>
        <w:adjustRightInd w:val="0"/>
        <w:snapToGrid/>
        <w:spacing w:line="560" w:lineRule="exact"/>
        <w:ind w:left="0" w:firstLine="640" w:firstLineChars="200"/>
        <w:textAlignment w:val="auto"/>
        <w:rPr>
          <w:rFonts w:hint="eastAsia" w:ascii="仿宋_GB2312" w:hAnsi="宋体" w:eastAsia="仿宋_GB2312"/>
          <w:sz w:val="32"/>
          <w:szCs w:val="28"/>
          <w:lang w:eastAsia="zh-CN"/>
        </w:rPr>
      </w:pPr>
      <w:r>
        <w:rPr>
          <w:rFonts w:hint="eastAsia" w:ascii="仿宋_GB2312" w:hAnsi="宋体" w:eastAsia="仿宋_GB2312"/>
          <w:sz w:val="32"/>
          <w:szCs w:val="28"/>
        </w:rPr>
        <w:t>广西壮族自治区地震局</w:t>
      </w:r>
      <w:r>
        <w:rPr>
          <w:rFonts w:hint="eastAsia" w:ascii="仿宋_GB2312" w:hAnsi="宋体"/>
          <w:sz w:val="32"/>
          <w:szCs w:val="28"/>
          <w:lang w:val="en-US" w:eastAsia="zh-CN"/>
        </w:rPr>
        <w:t>2021年以来</w:t>
      </w:r>
      <w:r>
        <w:rPr>
          <w:rFonts w:hint="eastAsia" w:ascii="仿宋_GB2312" w:hAnsi="宋体" w:eastAsia="仿宋_GB2312"/>
          <w:sz w:val="32"/>
          <w:szCs w:val="28"/>
        </w:rPr>
        <w:t>对“平陆运河”沿线的马道、企石、青年3个枢纽工程以及三阳桥、陆杨新村大桥等桥梁工程开展了地震安全评价工作，编制了地震灾害风险区划图，为该项目选址、产业园区布局等提供了技术指导</w:t>
      </w:r>
      <w:r>
        <w:rPr>
          <w:rFonts w:hint="eastAsia" w:ascii="仿宋_GB2312" w:hAnsi="宋体"/>
          <w:sz w:val="32"/>
          <w:szCs w:val="28"/>
          <w:lang w:eastAsia="zh-CN"/>
        </w:rPr>
        <w:t>。</w:t>
      </w:r>
      <w:r>
        <w:rPr>
          <w:rFonts w:hint="eastAsia" w:ascii="仿宋_GB2312" w:hAnsi="宋体"/>
          <w:sz w:val="32"/>
          <w:szCs w:val="28"/>
          <w:lang w:val="en-US" w:eastAsia="zh-CN"/>
        </w:rPr>
        <w:t>据统计，</w:t>
      </w:r>
      <w:r>
        <w:rPr>
          <w:rFonts w:hint="eastAsia" w:ascii="仿宋_GB2312" w:hAnsi="宋体" w:eastAsia="仿宋_GB2312"/>
          <w:sz w:val="32"/>
          <w:szCs w:val="28"/>
        </w:rPr>
        <w:t>2022年以来广西开展了72个重大工程、26个产业园区、29个化工园区的地震安全性评价现场工作。</w:t>
      </w:r>
      <w:r>
        <w:rPr>
          <w:rFonts w:hint="eastAsia" w:ascii="仿宋_GB2312" w:hAnsi="宋体"/>
          <w:sz w:val="32"/>
          <w:szCs w:val="28"/>
          <w:lang w:val="en-US" w:eastAsia="zh-CN"/>
        </w:rPr>
        <w:t>此外，广西地震局</w:t>
      </w:r>
      <w:r>
        <w:rPr>
          <w:rFonts w:hint="eastAsia" w:ascii="仿宋_GB2312" w:hAnsi="宋体" w:eastAsia="仿宋_GB2312"/>
          <w:sz w:val="32"/>
          <w:szCs w:val="28"/>
        </w:rPr>
        <w:t>科学运用震灾风险评估成果，推进南宁市活动断层探查</w:t>
      </w:r>
      <w:r>
        <w:rPr>
          <w:rFonts w:hint="eastAsia" w:ascii="仿宋_GB2312" w:hAnsi="宋体" w:eastAsia="仿宋_GB2312"/>
          <w:sz w:val="32"/>
          <w:szCs w:val="28"/>
          <w:lang w:eastAsia="zh-CN"/>
        </w:rPr>
        <w:t>，</w:t>
      </w:r>
      <w:r>
        <w:rPr>
          <w:rFonts w:hint="eastAsia" w:ascii="仿宋_GB2312" w:hAnsi="宋体" w:eastAsia="仿宋_GB2312"/>
          <w:sz w:val="32"/>
          <w:szCs w:val="28"/>
        </w:rPr>
        <w:t>2025年完成46个县（市、区）的精细化预评估，将震灾风险评估成果应用于61个重大工程、56个产业园区、29个化工园区、200余个新能源项目、330个重点企业选址，有效服务地方经济社会高质量发展</w:t>
      </w:r>
      <w:r>
        <w:rPr>
          <w:rFonts w:hint="eastAsia" w:ascii="仿宋_GB2312" w:hAnsi="宋体" w:eastAsia="仿宋_GB2312"/>
          <w:sz w:val="32"/>
          <w:szCs w:val="28"/>
          <w:lang w:eastAsia="zh-CN"/>
        </w:rPr>
        <w:t>。</w:t>
      </w:r>
    </w:p>
    <w:p w14:paraId="1C1222E6">
      <w:pPr>
        <w:keepNext w:val="0"/>
        <w:keepLines w:val="0"/>
        <w:pageBreakBefore w:val="0"/>
        <w:kinsoku/>
        <w:overflowPunct/>
        <w:topLinePunct w:val="0"/>
        <w:autoSpaceDE w:val="0"/>
        <w:autoSpaceDN w:val="0"/>
        <w:bidi w:val="0"/>
        <w:adjustRightInd w:val="0"/>
        <w:snapToGrid/>
        <w:spacing w:line="560" w:lineRule="exact"/>
        <w:ind w:left="0" w:firstLine="640" w:firstLineChars="200"/>
        <w:textAlignment w:val="auto"/>
        <w:rPr>
          <w:rFonts w:hint="eastAsia" w:ascii="仿宋_GB2312" w:hAnsi="宋体" w:eastAsia="仿宋_GB2312"/>
          <w:sz w:val="32"/>
          <w:szCs w:val="28"/>
        </w:rPr>
      </w:pPr>
      <w:r>
        <w:rPr>
          <w:rFonts w:hint="eastAsia" w:ascii="仿宋_GB2312" w:hAnsi="宋体" w:eastAsia="仿宋_GB2312"/>
          <w:sz w:val="32"/>
          <w:szCs w:val="28"/>
        </w:rPr>
        <w:t>针对</w:t>
      </w:r>
      <w:r>
        <w:rPr>
          <w:rFonts w:hint="eastAsia" w:ascii="仿宋_GB2312" w:hAnsi="宋体"/>
          <w:sz w:val="32"/>
          <w:szCs w:val="28"/>
          <w:lang w:val="en-US" w:eastAsia="zh-CN"/>
        </w:rPr>
        <w:t>上述存在的</w:t>
      </w:r>
      <w:r>
        <w:rPr>
          <w:rFonts w:hint="eastAsia" w:ascii="仿宋_GB2312" w:hAnsi="宋体" w:eastAsia="仿宋_GB2312"/>
          <w:sz w:val="32"/>
          <w:szCs w:val="28"/>
        </w:rPr>
        <w:t>难题，本标准的制定旨在通过规范现场工作流程、提高数据采集的准确性和完整性、加强人员培训和技术交流、强化现场工作与后续环节的衔接等措施，全面提升地震安全性评价现场工作的质量和效率，为重大工程的抗震设防提供更加科学、可靠的依据。目前，该地震安全性评价现场工作技术要求已在多个单位和项目中得到推广应用。在单位层面，不仅广西壮族自治区地震局及其下属的广西壮族自治区震灾风险防治中心、广西壮族自治区防震减灾和紧急救援办公室等核心部门积极践行，还吸引了国内其他地区地震部门和相关科研机构的关注与参与。在项目层面，在大型的水利工程如“平陆运河”沿线的枢纽工程及桥梁工程中广泛应用了该技术要求进行地震安全性评价。通过推广应用，取得了显著的效果。一方面，确保了重大工程抗震设防要求的科学性和合理性，有效减轻了地震灾害风险，保护了人民生命财产安全。另一方面，该技术要求的推广应用也促进了地震安全性评价现场工作的规范化和标准化，提高了数据采集的准确性和完整性，加强了人员培训和技术交流，使得现场工作的高效性和规范性得到了显著提升。</w:t>
      </w:r>
    </w:p>
    <w:p w14:paraId="06F75F2C">
      <w:pPr>
        <w:keepNext w:val="0"/>
        <w:keepLines w:val="0"/>
        <w:pageBreakBefore w:val="0"/>
        <w:kinsoku/>
        <w:overflowPunct/>
        <w:topLinePunct w:val="0"/>
        <w:autoSpaceDE w:val="0"/>
        <w:autoSpaceDN w:val="0"/>
        <w:bidi w:val="0"/>
        <w:adjustRightInd w:val="0"/>
        <w:snapToGrid/>
        <w:spacing w:line="560" w:lineRule="exact"/>
        <w:ind w:left="0" w:firstLine="640" w:firstLineChars="200"/>
        <w:textAlignment w:val="auto"/>
        <w:rPr>
          <w:rFonts w:hint="eastAsia" w:ascii="仿宋_GB2312" w:hAnsi="宋体" w:eastAsia="仿宋_GB2312"/>
          <w:sz w:val="32"/>
          <w:szCs w:val="28"/>
        </w:rPr>
      </w:pPr>
      <w:r>
        <w:rPr>
          <w:rFonts w:hint="eastAsia" w:ascii="仿宋_GB2312" w:hAnsi="宋体" w:eastAsia="仿宋_GB2312"/>
          <w:sz w:val="32"/>
          <w:szCs w:val="28"/>
        </w:rPr>
        <w:t>同时，该技术要求还强化了现场工作与后续工程设计和施工环节的衔接，提高了评价成果在实际应用中的转化效率，为整个行业的健康、有序和可持续发展奠定了坚实的基础。然而目前，地震安全性评价现场工作</w:t>
      </w:r>
      <w:r>
        <w:rPr>
          <w:rFonts w:hint="eastAsia" w:ascii="仿宋_GB2312" w:hAnsi="宋体"/>
          <w:sz w:val="32"/>
          <w:szCs w:val="28"/>
          <w:lang w:val="en-US" w:eastAsia="zh-CN"/>
        </w:rPr>
        <w:t>仍然</w:t>
      </w:r>
      <w:r>
        <w:rPr>
          <w:rFonts w:hint="eastAsia" w:ascii="仿宋_GB2312" w:hAnsi="宋体" w:eastAsia="仿宋_GB2312"/>
          <w:sz w:val="32"/>
          <w:szCs w:val="28"/>
        </w:rPr>
        <w:t>存在技术标准执行不严、市场竞争无序导致服务质量参差、部门协同与数据共享机制不畅，以及成本与工期压力下工作质量难以保证等问题，这些因素共同影响了评价结果的可靠性。</w:t>
      </w:r>
    </w:p>
    <w:p w14:paraId="5A7D7B9C">
      <w:pPr>
        <w:keepNext w:val="0"/>
        <w:keepLines w:val="0"/>
        <w:pageBreakBefore w:val="0"/>
        <w:kinsoku/>
        <w:overflowPunct/>
        <w:topLinePunct w:val="0"/>
        <w:autoSpaceDE w:val="0"/>
        <w:autoSpaceDN w:val="0"/>
        <w:bidi w:val="0"/>
        <w:adjustRightInd w:val="0"/>
        <w:snapToGrid/>
        <w:spacing w:line="560" w:lineRule="exact"/>
        <w:ind w:left="0" w:firstLine="640" w:firstLineChars="200"/>
        <w:textAlignment w:val="auto"/>
        <w:rPr>
          <w:rFonts w:hint="eastAsia" w:ascii="仿宋_GB2312" w:hAnsi="宋体" w:eastAsia="仿宋_GB2312"/>
          <w:sz w:val="32"/>
          <w:szCs w:val="28"/>
        </w:rPr>
      </w:pPr>
      <w:r>
        <w:rPr>
          <w:rFonts w:hint="eastAsia" w:ascii="仿宋_GB2312" w:hAnsi="宋体" w:eastAsia="仿宋_GB2312"/>
          <w:sz w:val="32"/>
          <w:szCs w:val="28"/>
        </w:rPr>
        <w:t>因此，制定团体标准《地震安全性评价现场工作技术规范》，以标准为抓手，统一规范地震安全性评价现场工作，对提高现场工作质量，促进地震安全性评价工作高质量发展具有重要意义。</w:t>
      </w:r>
    </w:p>
    <w:p w14:paraId="64CFA7EF">
      <w:pPr>
        <w:keepNext w:val="0"/>
        <w:keepLines w:val="0"/>
        <w:pageBreakBefore w:val="0"/>
        <w:kinsoku/>
        <w:overflowPunct/>
        <w:topLinePunct w:val="0"/>
        <w:autoSpaceDE w:val="0"/>
        <w:autoSpaceDN w:val="0"/>
        <w:bidi w:val="0"/>
        <w:adjustRightInd w:val="0"/>
        <w:snapToGrid/>
        <w:spacing w:line="560" w:lineRule="exact"/>
        <w:ind w:left="0" w:firstLine="640" w:firstLineChars="200"/>
        <w:jc w:val="left"/>
        <w:textAlignment w:val="auto"/>
        <w:rPr>
          <w:rFonts w:ascii="黑体" w:hAnsi="黑体" w:eastAsia="黑体" w:cs="仿宋_GB2312"/>
          <w:sz w:val="32"/>
          <w:szCs w:val="32"/>
        </w:rPr>
      </w:pPr>
      <w:r>
        <w:rPr>
          <w:rFonts w:hint="eastAsia" w:ascii="黑体" w:hAnsi="黑体" w:eastAsia="黑体" w:cs="仿宋_GB2312"/>
          <w:sz w:val="32"/>
          <w:szCs w:val="32"/>
        </w:rPr>
        <w:t>三、主要起草过程</w:t>
      </w:r>
    </w:p>
    <w:p w14:paraId="0D6A5644">
      <w:pPr>
        <w:keepNext w:val="0"/>
        <w:keepLines w:val="0"/>
        <w:pageBreakBefore w:val="0"/>
        <w:kinsoku/>
        <w:overflowPunct/>
        <w:topLinePunct w:val="0"/>
        <w:bidi w:val="0"/>
        <w:snapToGrid/>
        <w:spacing w:line="560" w:lineRule="exact"/>
        <w:ind w:left="0" w:firstLine="643" w:firstLineChars="200"/>
        <w:textAlignment w:val="auto"/>
        <w:rPr>
          <w:rFonts w:ascii="楷体" w:hAnsi="楷体" w:eastAsia="楷体"/>
          <w:sz w:val="32"/>
          <w:szCs w:val="28"/>
        </w:rPr>
      </w:pPr>
      <w:r>
        <w:rPr>
          <w:rFonts w:hint="eastAsia" w:ascii="楷体" w:hAnsi="楷体" w:eastAsia="楷体" w:cs="仿宋_GB2312"/>
          <w:b/>
          <w:sz w:val="32"/>
          <w:szCs w:val="28"/>
        </w:rPr>
        <w:t>（一）成立标准编制工作组</w:t>
      </w:r>
    </w:p>
    <w:p w14:paraId="437C2B65">
      <w:pPr>
        <w:keepNext w:val="0"/>
        <w:keepLines w:val="0"/>
        <w:pageBreakBefore w:val="0"/>
        <w:kinsoku/>
        <w:overflowPunct/>
        <w:topLinePunct w:val="0"/>
        <w:bidi w:val="0"/>
        <w:snapToGrid/>
        <w:ind w:left="0" w:firstLine="640" w:firstLineChars="200"/>
        <w:textAlignment w:val="auto"/>
        <w:rPr>
          <w:rFonts w:ascii="仿宋_GB2312" w:hAnsi="宋体" w:eastAsia="仿宋_GB2312"/>
          <w:color w:val="auto"/>
          <w:sz w:val="32"/>
          <w:szCs w:val="28"/>
        </w:rPr>
      </w:pPr>
      <w:r>
        <w:rPr>
          <w:rFonts w:hint="eastAsia" w:ascii="仿宋_GB2312" w:hAnsi="宋体" w:eastAsia="仿宋_GB2312"/>
          <w:color w:val="auto"/>
          <w:sz w:val="32"/>
          <w:szCs w:val="28"/>
        </w:rPr>
        <w:t>团体标准《地震安全性评价现场工作技术规范》项目任务下达后</w:t>
      </w:r>
      <w:r>
        <w:rPr>
          <w:rFonts w:hint="eastAsia" w:ascii="仿宋_GB2312" w:hAnsi="宋体" w:eastAsia="仿宋_GB2312"/>
          <w:color w:val="auto"/>
          <w:sz w:val="32"/>
          <w:szCs w:val="28"/>
          <w:highlight w:val="none"/>
        </w:rPr>
        <w:t>，</w:t>
      </w:r>
      <w:r>
        <w:rPr>
          <w:rFonts w:hint="eastAsia" w:ascii="仿宋_GB2312" w:hAnsi="宋体"/>
          <w:color w:val="auto"/>
          <w:sz w:val="32"/>
          <w:szCs w:val="28"/>
          <w:highlight w:val="none"/>
          <w:lang w:val="en-US" w:eastAsia="zh-CN"/>
        </w:rPr>
        <w:t>广西壮族自治区地震局</w:t>
      </w:r>
      <w:r>
        <w:rPr>
          <w:rFonts w:hint="eastAsia" w:ascii="仿宋_GB2312" w:hAnsi="宋体" w:eastAsia="仿宋_GB2312"/>
          <w:color w:val="auto"/>
          <w:sz w:val="32"/>
          <w:szCs w:val="28"/>
          <w:highlight w:val="none"/>
        </w:rPr>
        <w:t>成立了标准编制工作组，</w:t>
      </w:r>
      <w:r>
        <w:rPr>
          <w:rFonts w:hint="eastAsia" w:ascii="仿宋_GB2312" w:hAnsi="宋体"/>
          <w:color w:val="auto"/>
          <w:sz w:val="32"/>
          <w:szCs w:val="28"/>
          <w:highlight w:val="none"/>
          <w:lang w:val="en-US" w:eastAsia="zh-CN"/>
        </w:rPr>
        <w:t>并</w:t>
      </w:r>
      <w:r>
        <w:rPr>
          <w:rFonts w:hint="eastAsia" w:ascii="仿宋_GB2312" w:hAnsi="宋体" w:eastAsia="仿宋_GB2312"/>
          <w:color w:val="auto"/>
          <w:sz w:val="32"/>
          <w:szCs w:val="28"/>
          <w:highlight w:val="none"/>
        </w:rPr>
        <w:t>制定了起草编写方案与进度安排，明确任务职责，确定工作技术路线，开展标准研制工作。具体标准编制工作由</w:t>
      </w:r>
      <w:r>
        <w:rPr>
          <w:rFonts w:hint="eastAsia" w:ascii="仿宋_GB2312" w:hAnsi="宋体"/>
          <w:color w:val="auto"/>
          <w:sz w:val="32"/>
          <w:szCs w:val="28"/>
          <w:highlight w:val="none"/>
          <w:lang w:val="en-US" w:eastAsia="zh-CN"/>
        </w:rPr>
        <w:t>广西壮族自治区地震局、广西壮族自治区防震减灾和紧急救援办公室、广西壮族自治区震灾风险防治中心、桂林理工大学</w:t>
      </w:r>
      <w:r>
        <w:rPr>
          <w:rFonts w:hint="eastAsia" w:ascii="仿宋_GB2312" w:hAnsi="宋体" w:eastAsia="仿宋_GB2312"/>
          <w:color w:val="auto"/>
          <w:sz w:val="32"/>
          <w:szCs w:val="28"/>
          <w:highlight w:val="none"/>
        </w:rPr>
        <w:t>等单位负责人组成的标</w:t>
      </w:r>
      <w:r>
        <w:rPr>
          <w:rFonts w:hint="eastAsia" w:ascii="仿宋_GB2312" w:hAnsi="宋体" w:eastAsia="仿宋_GB2312"/>
          <w:color w:val="auto"/>
          <w:sz w:val="32"/>
          <w:szCs w:val="28"/>
        </w:rPr>
        <w:t>准编制工作组完成。</w:t>
      </w:r>
    </w:p>
    <w:p w14:paraId="0D99A07B">
      <w:pPr>
        <w:keepNext w:val="0"/>
        <w:keepLines w:val="0"/>
        <w:pageBreakBefore w:val="0"/>
        <w:kinsoku/>
        <w:overflowPunct/>
        <w:topLinePunct w:val="0"/>
        <w:bidi w:val="0"/>
        <w:snapToGrid/>
        <w:ind w:left="0" w:firstLine="640" w:firstLineChars="200"/>
        <w:textAlignment w:val="auto"/>
        <w:rPr>
          <w:rFonts w:ascii="仿宋_GB2312" w:hAnsi="宋体" w:eastAsia="仿宋_GB2312"/>
          <w:color w:val="auto"/>
          <w:sz w:val="32"/>
          <w:szCs w:val="28"/>
        </w:rPr>
      </w:pPr>
      <w:r>
        <w:rPr>
          <w:rFonts w:hint="eastAsia" w:ascii="仿宋_GB2312" w:hAnsi="宋体" w:eastAsia="仿宋_GB2312"/>
          <w:color w:val="auto"/>
          <w:sz w:val="32"/>
          <w:szCs w:val="28"/>
        </w:rPr>
        <w:t>编制工作组下设三个组，分别是资料收集组、草案编写组、标准实施组。</w:t>
      </w:r>
    </w:p>
    <w:p w14:paraId="59AE398B">
      <w:pPr>
        <w:keepNext w:val="0"/>
        <w:keepLines w:val="0"/>
        <w:pageBreakBefore w:val="0"/>
        <w:kinsoku/>
        <w:overflowPunct/>
        <w:topLinePunct w:val="0"/>
        <w:bidi w:val="0"/>
        <w:snapToGrid/>
        <w:ind w:left="0" w:firstLine="640" w:firstLineChars="200"/>
        <w:textAlignment w:val="auto"/>
        <w:rPr>
          <w:rFonts w:ascii="仿宋_GB2312" w:hAnsi="宋体" w:eastAsia="仿宋_GB2312"/>
          <w:color w:val="auto"/>
          <w:sz w:val="32"/>
          <w:szCs w:val="28"/>
        </w:rPr>
      </w:pPr>
      <w:r>
        <w:rPr>
          <w:rFonts w:hint="eastAsia" w:ascii="仿宋_GB2312" w:hAnsi="宋体" w:eastAsia="仿宋_GB2312"/>
          <w:color w:val="auto"/>
          <w:sz w:val="32"/>
          <w:szCs w:val="28"/>
        </w:rPr>
        <w:t>资料收集组负责国内外有关地震安全性评价现场工作的文献资料的查询、收集和整理工作，查阅前人对地震安全性评价现场工作的研究情况。</w:t>
      </w:r>
    </w:p>
    <w:p w14:paraId="0BE25F71">
      <w:pPr>
        <w:keepNext w:val="0"/>
        <w:keepLines w:val="0"/>
        <w:pageBreakBefore w:val="0"/>
        <w:kinsoku/>
        <w:overflowPunct/>
        <w:topLinePunct w:val="0"/>
        <w:bidi w:val="0"/>
        <w:snapToGrid/>
        <w:ind w:left="0" w:firstLine="640" w:firstLineChars="200"/>
        <w:textAlignment w:val="auto"/>
        <w:rPr>
          <w:rFonts w:ascii="仿宋_GB2312" w:hAnsi="宋体" w:eastAsia="仿宋_GB2312"/>
          <w:color w:val="auto"/>
          <w:sz w:val="32"/>
          <w:szCs w:val="28"/>
        </w:rPr>
      </w:pPr>
      <w:r>
        <w:rPr>
          <w:rFonts w:hint="eastAsia" w:ascii="仿宋_GB2312" w:hAnsi="宋体" w:eastAsia="仿宋_GB2312"/>
          <w:color w:val="auto"/>
          <w:sz w:val="32"/>
          <w:szCs w:val="28"/>
        </w:rPr>
        <w:t>草案编写组负责起草标准草案、征求意见稿和标准编制说明、送审稿及编制说明的编写工作，包括后期召开征求意见会、网上征求意见，以及标准的不断修改和完善。</w:t>
      </w:r>
    </w:p>
    <w:p w14:paraId="067432A5">
      <w:pPr>
        <w:keepNext w:val="0"/>
        <w:keepLines w:val="0"/>
        <w:pageBreakBefore w:val="0"/>
        <w:kinsoku/>
        <w:overflowPunct/>
        <w:topLinePunct w:val="0"/>
        <w:bidi w:val="0"/>
        <w:snapToGrid/>
        <w:ind w:left="0" w:firstLine="640" w:firstLineChars="200"/>
        <w:textAlignment w:val="auto"/>
        <w:rPr>
          <w:rFonts w:ascii="仿宋_GB2312" w:hAnsi="宋体" w:eastAsia="仿宋_GB2312"/>
          <w:color w:val="auto"/>
          <w:sz w:val="32"/>
          <w:szCs w:val="28"/>
        </w:rPr>
      </w:pPr>
      <w:r>
        <w:rPr>
          <w:rFonts w:hint="eastAsia" w:ascii="仿宋_GB2312" w:hAnsi="宋体" w:eastAsia="仿宋_GB2312"/>
          <w:color w:val="auto"/>
          <w:sz w:val="32"/>
          <w:szCs w:val="28"/>
        </w:rPr>
        <w:t>标准实施组负责团体标准《地震安全性评价现场工作技术规范》发布后，组织相关企事业单位开展标准宣贯培训会，对标准进行详细解读，让相关人员了解标准，并根据标准对地震安全性评价现场工作进行规范化操作，并对标准实施情况进行总结分析，不断对团体标准提出修正意见。</w:t>
      </w:r>
    </w:p>
    <w:p w14:paraId="32C78715">
      <w:pPr>
        <w:keepNext w:val="0"/>
        <w:keepLines w:val="0"/>
        <w:pageBreakBefore w:val="0"/>
        <w:kinsoku/>
        <w:overflowPunct/>
        <w:topLinePunct w:val="0"/>
        <w:bidi w:val="0"/>
        <w:snapToGrid/>
        <w:spacing w:line="560" w:lineRule="exact"/>
        <w:ind w:left="0" w:firstLine="643" w:firstLineChars="200"/>
        <w:textAlignment w:val="auto"/>
        <w:rPr>
          <w:rFonts w:ascii="楷体" w:hAnsi="楷体" w:eastAsia="楷体" w:cs="仿宋_GB2312"/>
          <w:b/>
          <w:color w:val="auto"/>
          <w:sz w:val="32"/>
          <w:szCs w:val="28"/>
        </w:rPr>
      </w:pPr>
      <w:r>
        <w:rPr>
          <w:rFonts w:hint="eastAsia" w:ascii="楷体" w:hAnsi="楷体" w:eastAsia="楷体" w:cs="仿宋_GB2312"/>
          <w:b/>
          <w:color w:val="auto"/>
          <w:sz w:val="32"/>
          <w:szCs w:val="28"/>
        </w:rPr>
        <w:t>（二）收集整理文献资料</w:t>
      </w:r>
    </w:p>
    <w:p w14:paraId="2B9611BD">
      <w:pPr>
        <w:keepNext w:val="0"/>
        <w:keepLines w:val="0"/>
        <w:pageBreakBefore w:val="0"/>
        <w:kinsoku/>
        <w:overflowPunct/>
        <w:topLinePunct w:val="0"/>
        <w:bidi w:val="0"/>
        <w:snapToGrid/>
        <w:ind w:left="0" w:firstLine="640" w:firstLineChars="200"/>
        <w:textAlignment w:val="auto"/>
        <w:rPr>
          <w:rFonts w:ascii="仿宋_GB2312" w:hAnsi="宋体" w:eastAsia="仿宋_GB2312"/>
          <w:color w:val="auto"/>
          <w:sz w:val="32"/>
          <w:szCs w:val="28"/>
          <w:lang w:val="fr-FR"/>
        </w:rPr>
      </w:pPr>
      <w:r>
        <w:rPr>
          <w:rFonts w:hint="eastAsia" w:ascii="仿宋_GB2312" w:hAnsi="宋体" w:eastAsia="仿宋_GB2312"/>
          <w:color w:val="auto"/>
          <w:sz w:val="32"/>
          <w:szCs w:val="28"/>
        </w:rPr>
        <w:t>标准编制工作组收集了国内有关地震安全性评价现场工作相关文献资料。主要有</w:t>
      </w:r>
      <w:r>
        <w:rPr>
          <w:rFonts w:hint="eastAsia" w:ascii="仿宋_GB2312" w:hAnsi="宋体" w:eastAsia="仿宋_GB2312"/>
          <w:color w:val="auto"/>
          <w:sz w:val="32"/>
          <w:szCs w:val="28"/>
          <w:lang w:val="fr-FR"/>
        </w:rPr>
        <w:t>：</w:t>
      </w:r>
    </w:p>
    <w:p w14:paraId="0226C976">
      <w:pPr>
        <w:keepNext w:val="0"/>
        <w:keepLines w:val="0"/>
        <w:pageBreakBefore w:val="0"/>
        <w:kinsoku/>
        <w:overflowPunct/>
        <w:topLinePunct w:val="0"/>
        <w:bidi w:val="0"/>
        <w:snapToGrid/>
        <w:spacing w:line="560" w:lineRule="exact"/>
        <w:ind w:left="0" w:firstLine="640" w:firstLineChars="200"/>
        <w:jc w:val="both"/>
        <w:textAlignment w:val="auto"/>
        <w:rPr>
          <w:rFonts w:hint="eastAsia" w:ascii="仿宋_GB2312" w:hAnsi="宋体" w:eastAsia="仿宋_GB2312"/>
          <w:color w:val="auto"/>
          <w:sz w:val="32"/>
          <w:szCs w:val="28"/>
        </w:rPr>
      </w:pPr>
      <w:r>
        <w:rPr>
          <w:rFonts w:hint="eastAsia" w:ascii="仿宋_GB2312" w:hAnsi="宋体" w:eastAsia="仿宋_GB2312"/>
          <w:color w:val="auto"/>
          <w:sz w:val="32"/>
          <w:szCs w:val="28"/>
        </w:rPr>
        <w:t>GB 17741-2005</w:t>
      </w:r>
      <w:r>
        <w:rPr>
          <w:rFonts w:hint="eastAsia" w:ascii="仿宋_GB2312" w:hAnsi="宋体"/>
          <w:color w:val="auto"/>
          <w:sz w:val="32"/>
          <w:szCs w:val="28"/>
          <w:lang w:val="en-US" w:eastAsia="zh-CN"/>
        </w:rPr>
        <w:t xml:space="preserve">  </w:t>
      </w:r>
      <w:r>
        <w:rPr>
          <w:rFonts w:hint="eastAsia" w:ascii="仿宋_GB2312" w:hAnsi="宋体" w:eastAsia="仿宋_GB2312"/>
          <w:color w:val="auto"/>
          <w:sz w:val="32"/>
          <w:szCs w:val="28"/>
        </w:rPr>
        <w:t>工程场地地震安全性评价</w:t>
      </w:r>
    </w:p>
    <w:p w14:paraId="402D71FD">
      <w:pPr>
        <w:keepNext w:val="0"/>
        <w:keepLines w:val="0"/>
        <w:pageBreakBefore w:val="0"/>
        <w:kinsoku/>
        <w:overflowPunct/>
        <w:topLinePunct w:val="0"/>
        <w:bidi w:val="0"/>
        <w:snapToGrid/>
        <w:spacing w:line="560" w:lineRule="exact"/>
        <w:ind w:left="0" w:firstLine="640" w:firstLineChars="200"/>
        <w:jc w:val="both"/>
        <w:textAlignment w:val="auto"/>
        <w:rPr>
          <w:rFonts w:hint="eastAsia" w:ascii="仿宋_GB2312" w:hAnsi="宋体" w:eastAsia="仿宋_GB2312"/>
          <w:color w:val="auto"/>
          <w:sz w:val="32"/>
          <w:szCs w:val="28"/>
        </w:rPr>
      </w:pPr>
      <w:r>
        <w:rPr>
          <w:rFonts w:hint="eastAsia" w:ascii="仿宋_GB2312" w:hAnsi="宋体" w:eastAsia="仿宋_GB2312"/>
          <w:color w:val="auto"/>
          <w:sz w:val="32"/>
          <w:szCs w:val="28"/>
        </w:rPr>
        <w:t xml:space="preserve">DB/T100-2024 </w:t>
      </w:r>
      <w:r>
        <w:rPr>
          <w:rFonts w:hint="eastAsia" w:ascii="仿宋_GB2312" w:hAnsi="宋体"/>
          <w:color w:val="auto"/>
          <w:sz w:val="32"/>
          <w:szCs w:val="28"/>
          <w:lang w:val="en-US" w:eastAsia="zh-CN"/>
        </w:rPr>
        <w:t xml:space="preserve"> </w:t>
      </w:r>
      <w:r>
        <w:rPr>
          <w:rFonts w:hint="eastAsia" w:ascii="仿宋_GB2312" w:hAnsi="宋体" w:eastAsia="仿宋_GB2312"/>
          <w:color w:val="auto"/>
          <w:sz w:val="32"/>
          <w:szCs w:val="28"/>
        </w:rPr>
        <w:t>区域性地震安全性评价</w:t>
      </w:r>
    </w:p>
    <w:p w14:paraId="486B224F">
      <w:pPr>
        <w:keepNext w:val="0"/>
        <w:keepLines w:val="0"/>
        <w:pageBreakBefore w:val="0"/>
        <w:kinsoku/>
        <w:overflowPunct/>
        <w:topLinePunct w:val="0"/>
        <w:bidi w:val="0"/>
        <w:snapToGrid/>
        <w:spacing w:line="560" w:lineRule="exact"/>
        <w:ind w:left="0" w:firstLine="640" w:firstLineChars="200"/>
        <w:jc w:val="both"/>
        <w:textAlignment w:val="auto"/>
        <w:rPr>
          <w:rFonts w:hint="eastAsia" w:ascii="仿宋_GB2312" w:hAnsi="宋体" w:eastAsia="仿宋_GB2312"/>
          <w:sz w:val="32"/>
          <w:szCs w:val="28"/>
        </w:rPr>
      </w:pPr>
      <w:r>
        <w:rPr>
          <w:rFonts w:hint="eastAsia" w:ascii="仿宋_GB2312" w:hAnsi="宋体" w:eastAsia="仿宋_GB2312"/>
          <w:sz w:val="32"/>
          <w:szCs w:val="28"/>
        </w:rPr>
        <w:t xml:space="preserve">DL/T5494-2014 </w:t>
      </w:r>
      <w:r>
        <w:rPr>
          <w:rFonts w:hint="eastAsia" w:ascii="仿宋_GB2312" w:hAnsi="宋体"/>
          <w:sz w:val="32"/>
          <w:szCs w:val="28"/>
          <w:lang w:val="en-US" w:eastAsia="zh-CN"/>
        </w:rPr>
        <w:t xml:space="preserve"> </w:t>
      </w:r>
      <w:r>
        <w:rPr>
          <w:rFonts w:hint="eastAsia" w:ascii="仿宋_GB2312" w:hAnsi="宋体" w:eastAsia="仿宋_GB2312"/>
          <w:sz w:val="32"/>
          <w:szCs w:val="28"/>
        </w:rPr>
        <w:t>电力工程场地地震安全性评价规程</w:t>
      </w:r>
    </w:p>
    <w:p w14:paraId="5E59F171">
      <w:pPr>
        <w:keepNext w:val="0"/>
        <w:keepLines w:val="0"/>
        <w:pageBreakBefore w:val="0"/>
        <w:kinsoku/>
        <w:overflowPunct/>
        <w:topLinePunct w:val="0"/>
        <w:bidi w:val="0"/>
        <w:snapToGrid/>
        <w:spacing w:line="560" w:lineRule="exact"/>
        <w:ind w:left="0" w:firstLine="640" w:firstLineChars="200"/>
        <w:jc w:val="both"/>
        <w:textAlignment w:val="auto"/>
        <w:rPr>
          <w:rFonts w:hint="eastAsia" w:ascii="仿宋_GB2312" w:hAnsi="宋体" w:eastAsia="仿宋_GB2312"/>
          <w:sz w:val="32"/>
          <w:szCs w:val="28"/>
        </w:rPr>
      </w:pPr>
      <w:r>
        <w:rPr>
          <w:rFonts w:hint="eastAsia" w:ascii="仿宋_GB2312" w:hAnsi="宋体" w:eastAsia="仿宋_GB2312"/>
          <w:sz w:val="32"/>
          <w:szCs w:val="28"/>
        </w:rPr>
        <w:t>DB11/T2213-2024</w:t>
      </w:r>
      <w:r>
        <w:rPr>
          <w:rFonts w:hint="eastAsia" w:ascii="仿宋_GB2312" w:hAnsi="宋体"/>
          <w:sz w:val="32"/>
          <w:szCs w:val="28"/>
          <w:lang w:val="en-US" w:eastAsia="zh-CN"/>
        </w:rPr>
        <w:t xml:space="preserve">  </w:t>
      </w:r>
      <w:r>
        <w:rPr>
          <w:rFonts w:hint="eastAsia" w:ascii="仿宋_GB2312" w:hAnsi="宋体" w:eastAsia="仿宋_GB2312"/>
          <w:sz w:val="32"/>
          <w:szCs w:val="28"/>
        </w:rPr>
        <w:t>区域性地震安全性评价工作技术规范</w:t>
      </w:r>
    </w:p>
    <w:p w14:paraId="5B21C063">
      <w:pPr>
        <w:keepNext w:val="0"/>
        <w:keepLines w:val="0"/>
        <w:pageBreakBefore w:val="0"/>
        <w:kinsoku/>
        <w:overflowPunct/>
        <w:topLinePunct w:val="0"/>
        <w:bidi w:val="0"/>
        <w:snapToGrid/>
        <w:spacing w:line="560" w:lineRule="exact"/>
        <w:ind w:left="0" w:firstLine="640" w:firstLineChars="200"/>
        <w:jc w:val="both"/>
        <w:textAlignment w:val="auto"/>
        <w:rPr>
          <w:rFonts w:hint="eastAsia" w:ascii="仿宋_GB2312" w:hAnsi="宋体" w:eastAsia="仿宋_GB2312"/>
          <w:sz w:val="32"/>
          <w:szCs w:val="28"/>
        </w:rPr>
      </w:pPr>
      <w:r>
        <w:rPr>
          <w:rFonts w:hint="eastAsia" w:ascii="仿宋_GB2312" w:hAnsi="宋体" w:eastAsia="仿宋_GB2312"/>
          <w:sz w:val="32"/>
          <w:szCs w:val="28"/>
        </w:rPr>
        <w:t>DB12/T 1447-2025</w:t>
      </w:r>
      <w:r>
        <w:rPr>
          <w:rFonts w:hint="eastAsia" w:ascii="仿宋_GB2312" w:hAnsi="宋体"/>
          <w:sz w:val="32"/>
          <w:szCs w:val="28"/>
          <w:lang w:val="en-US" w:eastAsia="zh-CN"/>
        </w:rPr>
        <w:t xml:space="preserve"> </w:t>
      </w:r>
      <w:r>
        <w:rPr>
          <w:rFonts w:hint="eastAsia" w:ascii="仿宋_GB2312" w:hAnsi="宋体" w:eastAsia="仿宋_GB2312"/>
          <w:sz w:val="32"/>
          <w:szCs w:val="28"/>
        </w:rPr>
        <w:t xml:space="preserve"> 区域性地震安全性评价技术规范</w:t>
      </w:r>
    </w:p>
    <w:p w14:paraId="56227096">
      <w:pPr>
        <w:keepNext w:val="0"/>
        <w:keepLines w:val="0"/>
        <w:pageBreakBefore w:val="0"/>
        <w:kinsoku/>
        <w:overflowPunct/>
        <w:topLinePunct w:val="0"/>
        <w:bidi w:val="0"/>
        <w:snapToGrid/>
        <w:spacing w:line="560" w:lineRule="exact"/>
        <w:ind w:left="0" w:firstLine="640" w:firstLineChars="200"/>
        <w:jc w:val="both"/>
        <w:textAlignment w:val="auto"/>
        <w:rPr>
          <w:rFonts w:hint="eastAsia" w:ascii="仿宋_GB2312" w:hAnsi="宋体" w:eastAsia="仿宋_GB2312"/>
          <w:sz w:val="32"/>
          <w:szCs w:val="28"/>
        </w:rPr>
      </w:pPr>
      <w:r>
        <w:rPr>
          <w:rFonts w:hint="eastAsia" w:ascii="仿宋_GB2312" w:hAnsi="宋体" w:eastAsia="仿宋_GB2312"/>
          <w:sz w:val="32"/>
          <w:szCs w:val="28"/>
        </w:rPr>
        <w:t>DB13/T5961-2024</w:t>
      </w:r>
      <w:r>
        <w:rPr>
          <w:rFonts w:hint="eastAsia" w:ascii="仿宋_GB2312" w:hAnsi="宋体"/>
          <w:sz w:val="32"/>
          <w:szCs w:val="28"/>
          <w:lang w:val="en-US" w:eastAsia="zh-CN"/>
        </w:rPr>
        <w:t xml:space="preserve">  </w:t>
      </w:r>
      <w:r>
        <w:rPr>
          <w:rFonts w:hint="eastAsia" w:ascii="仿宋_GB2312" w:hAnsi="宋体" w:eastAsia="仿宋_GB2312"/>
          <w:sz w:val="32"/>
          <w:szCs w:val="28"/>
        </w:rPr>
        <w:t>区域性地震安全性评价技术规范</w:t>
      </w:r>
    </w:p>
    <w:p w14:paraId="00F83339">
      <w:pPr>
        <w:keepNext w:val="0"/>
        <w:keepLines w:val="0"/>
        <w:pageBreakBefore w:val="0"/>
        <w:kinsoku/>
        <w:overflowPunct/>
        <w:topLinePunct w:val="0"/>
        <w:bidi w:val="0"/>
        <w:snapToGrid/>
        <w:spacing w:line="560" w:lineRule="exact"/>
        <w:ind w:left="0" w:firstLine="640" w:firstLineChars="200"/>
        <w:jc w:val="both"/>
        <w:textAlignment w:val="auto"/>
        <w:rPr>
          <w:rFonts w:hint="eastAsia" w:ascii="仿宋_GB2312" w:hAnsi="宋体" w:eastAsia="仿宋_GB2312"/>
          <w:sz w:val="32"/>
          <w:szCs w:val="28"/>
        </w:rPr>
      </w:pPr>
      <w:r>
        <w:rPr>
          <w:rFonts w:hint="eastAsia" w:ascii="仿宋_GB2312" w:hAnsi="宋体" w:eastAsia="仿宋_GB2312"/>
          <w:sz w:val="32"/>
          <w:szCs w:val="28"/>
        </w:rPr>
        <w:t>DB14/T2259-2021</w:t>
      </w:r>
      <w:r>
        <w:rPr>
          <w:rFonts w:hint="eastAsia" w:ascii="仿宋_GB2312" w:hAnsi="宋体"/>
          <w:sz w:val="32"/>
          <w:szCs w:val="28"/>
          <w:lang w:val="en-US" w:eastAsia="zh-CN"/>
        </w:rPr>
        <w:t xml:space="preserve">  </w:t>
      </w:r>
      <w:r>
        <w:rPr>
          <w:rFonts w:hint="eastAsia" w:ascii="仿宋_GB2312" w:hAnsi="宋体" w:eastAsia="仿宋_GB2312"/>
          <w:sz w:val="32"/>
          <w:szCs w:val="28"/>
        </w:rPr>
        <w:t>区域性地震安全性评价技术规范</w:t>
      </w:r>
    </w:p>
    <w:p w14:paraId="11182A11">
      <w:pPr>
        <w:keepNext w:val="0"/>
        <w:keepLines w:val="0"/>
        <w:pageBreakBefore w:val="0"/>
        <w:kinsoku/>
        <w:overflowPunct/>
        <w:topLinePunct w:val="0"/>
        <w:bidi w:val="0"/>
        <w:snapToGrid/>
        <w:spacing w:line="560" w:lineRule="exact"/>
        <w:ind w:left="0" w:firstLine="640" w:firstLineChars="200"/>
        <w:jc w:val="both"/>
        <w:textAlignment w:val="auto"/>
        <w:rPr>
          <w:rFonts w:hint="eastAsia" w:ascii="仿宋_GB2312" w:hAnsi="宋体" w:eastAsia="仿宋_GB2312"/>
          <w:sz w:val="32"/>
          <w:szCs w:val="28"/>
        </w:rPr>
      </w:pPr>
      <w:r>
        <w:rPr>
          <w:rFonts w:hint="eastAsia" w:ascii="仿宋_GB2312" w:hAnsi="宋体" w:eastAsia="仿宋_GB2312"/>
          <w:sz w:val="32"/>
          <w:szCs w:val="28"/>
        </w:rPr>
        <w:t>DB15/T3668-2024</w:t>
      </w:r>
      <w:r>
        <w:rPr>
          <w:rFonts w:hint="eastAsia" w:ascii="仿宋_GB2312" w:hAnsi="宋体"/>
          <w:sz w:val="32"/>
          <w:szCs w:val="28"/>
          <w:lang w:val="en-US" w:eastAsia="zh-CN"/>
        </w:rPr>
        <w:t xml:space="preserve"> </w:t>
      </w:r>
      <w:r>
        <w:rPr>
          <w:rFonts w:hint="eastAsia" w:ascii="仿宋_GB2312" w:hAnsi="宋体" w:eastAsia="仿宋_GB2312"/>
          <w:sz w:val="32"/>
          <w:szCs w:val="28"/>
        </w:rPr>
        <w:t xml:space="preserve"> 区域性地震安全性评价技术规范</w:t>
      </w:r>
    </w:p>
    <w:p w14:paraId="7BB1ED46">
      <w:pPr>
        <w:keepNext w:val="0"/>
        <w:keepLines w:val="0"/>
        <w:pageBreakBefore w:val="0"/>
        <w:kinsoku/>
        <w:overflowPunct/>
        <w:topLinePunct w:val="0"/>
        <w:bidi w:val="0"/>
        <w:snapToGrid/>
        <w:spacing w:line="560" w:lineRule="exact"/>
        <w:ind w:left="320" w:leftChars="100" w:firstLine="320" w:firstLineChars="100"/>
        <w:jc w:val="both"/>
        <w:textAlignment w:val="auto"/>
        <w:rPr>
          <w:rFonts w:hint="eastAsia" w:ascii="仿宋_GB2312" w:hAnsi="宋体" w:eastAsia="仿宋_GB2312"/>
          <w:sz w:val="32"/>
          <w:szCs w:val="28"/>
        </w:rPr>
      </w:pPr>
      <w:r>
        <w:rPr>
          <w:rFonts w:hint="eastAsia" w:ascii="仿宋_GB2312" w:hAnsi="宋体" w:eastAsia="仿宋_GB2312"/>
          <w:sz w:val="32"/>
          <w:szCs w:val="28"/>
        </w:rPr>
        <w:t xml:space="preserve">DB32/T4050-2021 </w:t>
      </w:r>
      <w:r>
        <w:rPr>
          <w:rFonts w:hint="eastAsia" w:ascii="仿宋_GB2312" w:hAnsi="宋体"/>
          <w:sz w:val="32"/>
          <w:szCs w:val="28"/>
          <w:lang w:val="en-US" w:eastAsia="zh-CN"/>
        </w:rPr>
        <w:t xml:space="preserve"> </w:t>
      </w:r>
      <w:r>
        <w:rPr>
          <w:rFonts w:hint="eastAsia" w:ascii="仿宋_GB2312" w:hAnsi="宋体" w:eastAsia="仿宋_GB2312"/>
          <w:sz w:val="32"/>
          <w:szCs w:val="28"/>
        </w:rPr>
        <w:t>区域性地震安全性评价技术规</w:t>
      </w:r>
    </w:p>
    <w:p w14:paraId="09CD3980">
      <w:pPr>
        <w:keepNext w:val="0"/>
        <w:keepLines w:val="0"/>
        <w:pageBreakBefore w:val="0"/>
        <w:kinsoku/>
        <w:overflowPunct/>
        <w:topLinePunct w:val="0"/>
        <w:bidi w:val="0"/>
        <w:snapToGrid/>
        <w:spacing w:line="560" w:lineRule="exact"/>
        <w:ind w:left="320" w:leftChars="100" w:firstLine="320" w:firstLineChars="100"/>
        <w:jc w:val="both"/>
        <w:textAlignment w:val="auto"/>
        <w:rPr>
          <w:rFonts w:hint="eastAsia" w:ascii="仿宋_GB2312" w:hAnsi="宋体" w:eastAsia="仿宋_GB2312"/>
          <w:sz w:val="32"/>
          <w:szCs w:val="28"/>
        </w:rPr>
      </w:pPr>
      <w:r>
        <w:rPr>
          <w:rFonts w:hint="eastAsia" w:ascii="仿宋_GB2312" w:hAnsi="宋体" w:eastAsia="仿宋_GB2312"/>
          <w:sz w:val="32"/>
          <w:szCs w:val="28"/>
        </w:rPr>
        <w:t xml:space="preserve">DB34/T4165-2022 </w:t>
      </w:r>
      <w:r>
        <w:rPr>
          <w:rFonts w:hint="eastAsia" w:ascii="仿宋_GB2312" w:hAnsi="宋体"/>
          <w:sz w:val="32"/>
          <w:szCs w:val="28"/>
          <w:lang w:val="en-US" w:eastAsia="zh-CN"/>
        </w:rPr>
        <w:t xml:space="preserve"> </w:t>
      </w:r>
      <w:r>
        <w:rPr>
          <w:rFonts w:hint="eastAsia" w:ascii="仿宋_GB2312" w:hAnsi="宋体" w:eastAsia="仿宋_GB2312"/>
          <w:sz w:val="32"/>
          <w:szCs w:val="28"/>
        </w:rPr>
        <w:t>区域性地震安全性评价技术规范</w:t>
      </w:r>
    </w:p>
    <w:p w14:paraId="373342B9">
      <w:pPr>
        <w:keepNext w:val="0"/>
        <w:keepLines w:val="0"/>
        <w:pageBreakBefore w:val="0"/>
        <w:kinsoku/>
        <w:overflowPunct/>
        <w:topLinePunct w:val="0"/>
        <w:bidi w:val="0"/>
        <w:snapToGrid/>
        <w:spacing w:line="560" w:lineRule="exact"/>
        <w:ind w:left="320" w:leftChars="100" w:firstLine="320" w:firstLineChars="100"/>
        <w:jc w:val="both"/>
        <w:textAlignment w:val="auto"/>
        <w:rPr>
          <w:rFonts w:ascii="仿宋_GB2312" w:hAnsi="宋体" w:eastAsia="仿宋_GB2312"/>
          <w:sz w:val="32"/>
          <w:szCs w:val="28"/>
        </w:rPr>
      </w:pPr>
      <w:r>
        <w:rPr>
          <w:rFonts w:hint="eastAsia" w:ascii="仿宋_GB2312" w:hAnsi="宋体" w:eastAsia="仿宋_GB2312"/>
          <w:sz w:val="32"/>
          <w:szCs w:val="28"/>
        </w:rPr>
        <w:t xml:space="preserve">DB37/T3646-2019 </w:t>
      </w:r>
      <w:r>
        <w:rPr>
          <w:rFonts w:hint="eastAsia" w:ascii="仿宋_GB2312" w:hAnsi="宋体"/>
          <w:sz w:val="32"/>
          <w:szCs w:val="28"/>
          <w:lang w:val="en-US" w:eastAsia="zh-CN"/>
        </w:rPr>
        <w:t xml:space="preserve"> </w:t>
      </w:r>
      <w:r>
        <w:rPr>
          <w:rFonts w:hint="eastAsia" w:ascii="仿宋_GB2312" w:hAnsi="宋体" w:eastAsia="仿宋_GB2312"/>
          <w:sz w:val="32"/>
          <w:szCs w:val="28"/>
        </w:rPr>
        <w:t>区域性地震安全性评价技术规范</w:t>
      </w:r>
    </w:p>
    <w:p w14:paraId="44937C7D">
      <w:pPr>
        <w:keepNext w:val="0"/>
        <w:keepLines w:val="0"/>
        <w:pageBreakBefore w:val="0"/>
        <w:kinsoku/>
        <w:overflowPunct/>
        <w:topLinePunct w:val="0"/>
        <w:bidi w:val="0"/>
        <w:snapToGrid/>
        <w:spacing w:line="560" w:lineRule="exact"/>
        <w:ind w:left="0" w:firstLine="643" w:firstLineChars="200"/>
        <w:textAlignment w:val="auto"/>
        <w:rPr>
          <w:rFonts w:ascii="楷体" w:hAnsi="楷体" w:eastAsia="楷体" w:cs="仿宋_GB2312"/>
          <w:b/>
          <w:sz w:val="32"/>
          <w:szCs w:val="28"/>
        </w:rPr>
      </w:pPr>
      <w:r>
        <w:rPr>
          <w:rFonts w:hint="eastAsia" w:ascii="楷体" w:hAnsi="楷体" w:eastAsia="楷体" w:cs="仿宋_GB2312"/>
          <w:b/>
          <w:sz w:val="32"/>
          <w:szCs w:val="28"/>
        </w:rPr>
        <w:t>（三）研讨确定标准</w:t>
      </w:r>
      <w:r>
        <w:rPr>
          <w:rFonts w:hint="eastAsia" w:ascii="楷体" w:hAnsi="楷体" w:eastAsia="楷体" w:cs="仿宋_GB2312"/>
          <w:b/>
          <w:sz w:val="32"/>
          <w:szCs w:val="28"/>
          <w:lang w:val="en-US" w:eastAsia="zh-CN"/>
        </w:rPr>
        <w:t>特色、创新点、</w:t>
      </w:r>
      <w:r>
        <w:rPr>
          <w:rFonts w:hint="eastAsia" w:ascii="楷体" w:hAnsi="楷体" w:eastAsia="楷体" w:cs="仿宋_GB2312"/>
          <w:b/>
          <w:sz w:val="32"/>
          <w:szCs w:val="28"/>
        </w:rPr>
        <w:t>主体内容</w:t>
      </w:r>
    </w:p>
    <w:p w14:paraId="2963878A">
      <w:pPr>
        <w:keepNext w:val="0"/>
        <w:keepLines w:val="0"/>
        <w:pageBreakBefore w:val="0"/>
        <w:kinsoku/>
        <w:overflowPunct/>
        <w:topLinePunct w:val="0"/>
        <w:bidi w:val="0"/>
        <w:snapToGrid/>
        <w:ind w:left="0" w:firstLine="640" w:firstLineChars="200"/>
        <w:textAlignment w:val="auto"/>
        <w:rPr>
          <w:rFonts w:hint="eastAsia" w:ascii="仿宋_GB2312" w:hAnsi="宋体"/>
          <w:sz w:val="32"/>
          <w:szCs w:val="28"/>
          <w:lang w:val="en-US" w:eastAsia="zh-CN"/>
        </w:rPr>
      </w:pPr>
      <w:r>
        <w:rPr>
          <w:rFonts w:hint="eastAsia" w:ascii="仿宋_GB2312" w:hAnsi="宋体"/>
          <w:sz w:val="32"/>
          <w:szCs w:val="28"/>
          <w:lang w:val="en-US" w:eastAsia="zh-CN"/>
        </w:rPr>
        <w:t>1、创新点</w:t>
      </w:r>
    </w:p>
    <w:p w14:paraId="1A9C50C7">
      <w:pPr>
        <w:keepNext w:val="0"/>
        <w:keepLines w:val="0"/>
        <w:pageBreakBefore w:val="0"/>
        <w:kinsoku/>
        <w:overflowPunct/>
        <w:topLinePunct w:val="0"/>
        <w:bidi w:val="0"/>
        <w:snapToGrid/>
        <w:ind w:left="0" w:firstLine="640" w:firstLineChars="200"/>
        <w:textAlignment w:val="auto"/>
        <w:rPr>
          <w:rFonts w:hint="eastAsia" w:ascii="仿宋_GB2312" w:hAnsi="宋体"/>
          <w:sz w:val="32"/>
          <w:szCs w:val="28"/>
          <w:lang w:val="en-US" w:eastAsia="zh-CN"/>
        </w:rPr>
      </w:pPr>
      <w:r>
        <w:rPr>
          <w:rFonts w:hint="eastAsia" w:ascii="仿宋_GB2312" w:hAnsi="宋体"/>
          <w:sz w:val="32"/>
          <w:szCs w:val="28"/>
          <w:lang w:val="en-US" w:eastAsia="zh-CN"/>
        </w:rPr>
        <w:t>（1）解决了不同类型工程钻孔布设的数据盲区问题，改进了剪切波速测试技术，并建立了代表性土层原状土样的采集方法，确保土样原始性和代表性，为地震反应分析提供更准确的基础数据。</w:t>
      </w:r>
    </w:p>
    <w:p w14:paraId="46FDFA09">
      <w:pPr>
        <w:keepNext w:val="0"/>
        <w:keepLines w:val="0"/>
        <w:pageBreakBefore w:val="0"/>
        <w:kinsoku/>
        <w:overflowPunct/>
        <w:topLinePunct w:val="0"/>
        <w:bidi w:val="0"/>
        <w:snapToGrid/>
        <w:ind w:left="0" w:firstLine="640" w:firstLineChars="200"/>
        <w:textAlignment w:val="auto"/>
        <w:rPr>
          <w:rFonts w:hint="eastAsia" w:ascii="仿宋_GB2312" w:hAnsi="宋体"/>
          <w:sz w:val="32"/>
          <w:szCs w:val="28"/>
          <w:lang w:val="en-US" w:eastAsia="zh-CN"/>
        </w:rPr>
      </w:pPr>
      <w:r>
        <w:rPr>
          <w:rFonts w:hint="eastAsia" w:ascii="仿宋_GB2312" w:hAnsi="宋体"/>
          <w:sz w:val="32"/>
          <w:szCs w:val="28"/>
          <w:lang w:val="en-US" w:eastAsia="zh-CN"/>
        </w:rPr>
        <w:t>（2)针对广西广泛分布的软土层、可液化砂土层等，明确了砂土液化判定要求，并对地震小区划和区域性地震安全性评价场地提出技术规范，为本地工程建设提供可靠支撑。</w:t>
      </w:r>
    </w:p>
    <w:p w14:paraId="1D5B948A">
      <w:pPr>
        <w:keepNext w:val="0"/>
        <w:keepLines w:val="0"/>
        <w:pageBreakBefore w:val="0"/>
        <w:kinsoku/>
        <w:overflowPunct/>
        <w:topLinePunct w:val="0"/>
        <w:bidi w:val="0"/>
        <w:snapToGrid/>
        <w:ind w:left="0" w:firstLine="640" w:firstLineChars="200"/>
        <w:textAlignment w:val="auto"/>
        <w:rPr>
          <w:rFonts w:hint="default" w:ascii="仿宋_GB2312" w:hAnsi="宋体"/>
          <w:sz w:val="32"/>
          <w:szCs w:val="28"/>
          <w:lang w:val="en-US" w:eastAsia="zh-CN"/>
        </w:rPr>
      </w:pPr>
      <w:r>
        <w:rPr>
          <w:rFonts w:hint="eastAsia" w:ascii="仿宋_GB2312" w:hAnsi="宋体"/>
          <w:sz w:val="32"/>
          <w:szCs w:val="28"/>
          <w:lang w:val="en-US" w:eastAsia="zh-CN"/>
        </w:rPr>
        <w:t>（3）引入新的地质勘探和数据分析手段，提升断层识别与活动性评估的精度，解决行业难题；同时优化钻孔布设方案，并针对广西覆盖层薄的特点，分别给出出露区和隐伏区的具体技术要求，详细规范勘查全流程，确保系统性和科学性。</w:t>
      </w:r>
    </w:p>
    <w:p w14:paraId="2A81DD5F">
      <w:pPr>
        <w:keepNext w:val="0"/>
        <w:keepLines w:val="0"/>
        <w:pageBreakBefore w:val="0"/>
        <w:kinsoku/>
        <w:overflowPunct/>
        <w:topLinePunct w:val="0"/>
        <w:bidi w:val="0"/>
        <w:snapToGrid/>
        <w:ind w:left="0" w:firstLine="640" w:firstLineChars="200"/>
        <w:textAlignment w:val="auto"/>
        <w:rPr>
          <w:rFonts w:hint="default" w:ascii="仿宋_GB2312" w:hAnsi="宋体"/>
          <w:sz w:val="32"/>
          <w:szCs w:val="28"/>
          <w:lang w:val="en-US" w:eastAsia="zh-CN"/>
        </w:rPr>
      </w:pPr>
      <w:r>
        <w:rPr>
          <w:rFonts w:hint="eastAsia" w:ascii="仿宋_GB2312" w:hAnsi="宋体"/>
          <w:sz w:val="32"/>
          <w:szCs w:val="28"/>
          <w:lang w:val="en-US" w:eastAsia="zh-CN"/>
        </w:rPr>
        <w:t>2、主体内容</w:t>
      </w:r>
    </w:p>
    <w:p w14:paraId="691B939C">
      <w:pPr>
        <w:keepNext w:val="0"/>
        <w:keepLines w:val="0"/>
        <w:pageBreakBefore w:val="0"/>
        <w:kinsoku/>
        <w:overflowPunct/>
        <w:topLinePunct w:val="0"/>
        <w:bidi w:val="0"/>
        <w:snapToGrid/>
        <w:ind w:left="0" w:firstLine="640" w:firstLineChars="200"/>
        <w:textAlignment w:val="auto"/>
        <w:rPr>
          <w:rFonts w:ascii="仿宋_GB2312" w:hAnsi="宋体" w:eastAsia="仿宋_GB2312"/>
          <w:color w:val="auto"/>
          <w:sz w:val="30"/>
          <w:szCs w:val="30"/>
        </w:rPr>
      </w:pPr>
      <w:r>
        <w:rPr>
          <w:rFonts w:hint="eastAsia" w:ascii="仿宋_GB2312" w:hAnsi="宋体" w:eastAsia="仿宋_GB2312"/>
          <w:sz w:val="32"/>
          <w:szCs w:val="28"/>
        </w:rPr>
        <w:t>标准编制工作组在对收集的资料进行整理研究之后，标准编制工作组召开了标准编制会议，对标准的整体框架结构进行了研</w:t>
      </w:r>
      <w:r>
        <w:rPr>
          <w:rFonts w:hint="eastAsia" w:ascii="仿宋_GB2312" w:hAnsi="宋体" w:eastAsia="仿宋_GB2312"/>
          <w:color w:val="auto"/>
          <w:sz w:val="30"/>
          <w:szCs w:val="30"/>
        </w:rPr>
        <w:t>究，并对标准的关键性内容进行了初步探讨。经过研究，标准的主体内容确定为</w:t>
      </w:r>
      <w:r>
        <w:rPr>
          <w:rFonts w:hint="eastAsia" w:ascii="仿宋_GB2312" w:hAnsi="宋体"/>
          <w:color w:val="auto"/>
          <w:sz w:val="30"/>
          <w:szCs w:val="30"/>
          <w:lang w:val="en-US" w:eastAsia="zh-CN"/>
        </w:rPr>
        <w:t>工作准备、近场区断层活动性调查、场址附近及场地活动断层勘察、场地钻探、土样采集及测试、波速测试、地震地质灾害调查、资料处理与归档</w:t>
      </w:r>
      <w:r>
        <w:rPr>
          <w:rFonts w:hint="eastAsia" w:ascii="仿宋_GB2312" w:hAnsi="宋体" w:eastAsia="仿宋_GB2312"/>
          <w:color w:val="auto"/>
          <w:sz w:val="30"/>
          <w:szCs w:val="30"/>
        </w:rPr>
        <w:t>。</w:t>
      </w:r>
    </w:p>
    <w:p w14:paraId="61FABD75">
      <w:pPr>
        <w:keepNext w:val="0"/>
        <w:keepLines w:val="0"/>
        <w:pageBreakBefore w:val="0"/>
        <w:kinsoku/>
        <w:overflowPunct/>
        <w:topLinePunct w:val="0"/>
        <w:bidi w:val="0"/>
        <w:snapToGrid/>
        <w:spacing w:line="560" w:lineRule="exact"/>
        <w:ind w:left="0" w:firstLine="602" w:firstLineChars="200"/>
        <w:textAlignment w:val="auto"/>
        <w:rPr>
          <w:rFonts w:ascii="楷体" w:hAnsi="楷体" w:eastAsia="楷体" w:cs="仿宋_GB2312"/>
          <w:b/>
          <w:color w:val="auto"/>
          <w:sz w:val="30"/>
          <w:szCs w:val="30"/>
        </w:rPr>
      </w:pPr>
      <w:r>
        <w:rPr>
          <w:rFonts w:hint="eastAsia" w:ascii="楷体" w:hAnsi="楷体" w:eastAsia="楷体" w:cs="仿宋_GB2312"/>
          <w:b/>
          <w:color w:val="auto"/>
          <w:sz w:val="30"/>
          <w:szCs w:val="30"/>
        </w:rPr>
        <w:t>（四）调研及形成草案、征求意见稿</w:t>
      </w:r>
    </w:p>
    <w:p w14:paraId="6B432005">
      <w:pPr>
        <w:keepNext w:val="0"/>
        <w:keepLines w:val="0"/>
        <w:pageBreakBefore w:val="0"/>
        <w:kinsoku/>
        <w:overflowPunct/>
        <w:topLinePunct w:val="0"/>
        <w:bidi w:val="0"/>
        <w:snapToGrid/>
        <w:ind w:left="0" w:firstLine="600" w:firstLineChars="200"/>
        <w:textAlignment w:val="auto"/>
        <w:rPr>
          <w:rFonts w:ascii="仿宋_GB2312" w:hAnsi="宋体" w:eastAsia="仿宋_GB2312"/>
          <w:color w:val="auto"/>
          <w:sz w:val="30"/>
          <w:szCs w:val="30"/>
        </w:rPr>
      </w:pPr>
      <w:r>
        <w:rPr>
          <w:rFonts w:hint="eastAsia" w:ascii="仿宋_GB2312" w:hAnsi="宋体" w:eastAsia="仿宋_GB2312"/>
          <w:color w:val="auto"/>
          <w:sz w:val="30"/>
          <w:szCs w:val="30"/>
        </w:rPr>
        <w:t>20</w:t>
      </w:r>
      <w:r>
        <w:rPr>
          <w:rFonts w:hint="eastAsia" w:ascii="仿宋_GB2312" w:hAnsi="宋体"/>
          <w:color w:val="auto"/>
          <w:sz w:val="30"/>
          <w:szCs w:val="30"/>
          <w:lang w:val="en-US" w:eastAsia="zh-CN"/>
        </w:rPr>
        <w:t>25</w:t>
      </w:r>
      <w:r>
        <w:rPr>
          <w:rFonts w:hint="eastAsia" w:ascii="仿宋_GB2312" w:hAnsi="宋体" w:eastAsia="仿宋_GB2312"/>
          <w:color w:val="auto"/>
          <w:sz w:val="30"/>
          <w:szCs w:val="30"/>
        </w:rPr>
        <w:t>年</w:t>
      </w:r>
      <w:r>
        <w:rPr>
          <w:rFonts w:hint="eastAsia" w:ascii="仿宋_GB2312" w:hAnsi="宋体"/>
          <w:color w:val="auto"/>
          <w:sz w:val="30"/>
          <w:szCs w:val="30"/>
          <w:lang w:val="en-US" w:eastAsia="zh-CN"/>
        </w:rPr>
        <w:t>12</w:t>
      </w:r>
      <w:r>
        <w:rPr>
          <w:rFonts w:hint="eastAsia" w:ascii="仿宋_GB2312" w:hAnsi="宋体" w:eastAsia="仿宋_GB2312"/>
          <w:color w:val="auto"/>
          <w:sz w:val="30"/>
          <w:szCs w:val="30"/>
        </w:rPr>
        <w:t>月，标准起草工作小组进行了广泛调研工作，查阅了大量的国内外文献资料，对地震安全性评价现场工作的前人研究成果进行系统总结。形成了标准的基本构架，对主要内容进行了讨论并对项目的工作进行了部署和安排。</w:t>
      </w:r>
    </w:p>
    <w:p w14:paraId="09305CF3">
      <w:pPr>
        <w:keepNext w:val="0"/>
        <w:keepLines w:val="0"/>
        <w:pageBreakBefore w:val="0"/>
        <w:kinsoku/>
        <w:overflowPunct/>
        <w:topLinePunct w:val="0"/>
        <w:bidi w:val="0"/>
        <w:snapToGrid/>
        <w:ind w:left="0" w:firstLine="600" w:firstLineChars="200"/>
        <w:textAlignment w:val="auto"/>
        <w:rPr>
          <w:rFonts w:ascii="仿宋_GB2312" w:hAnsi="宋体" w:eastAsia="仿宋_GB2312"/>
          <w:color w:val="auto"/>
          <w:sz w:val="30"/>
          <w:szCs w:val="30"/>
        </w:rPr>
      </w:pPr>
      <w:r>
        <w:rPr>
          <w:rFonts w:hint="eastAsia" w:ascii="仿宋_GB2312" w:hAnsi="宋体" w:eastAsia="仿宋_GB2312"/>
          <w:color w:val="auto"/>
          <w:sz w:val="30"/>
          <w:szCs w:val="30"/>
        </w:rPr>
        <w:t>20</w:t>
      </w:r>
      <w:r>
        <w:rPr>
          <w:rFonts w:hint="eastAsia" w:ascii="仿宋_GB2312" w:hAnsi="宋体"/>
          <w:color w:val="auto"/>
          <w:sz w:val="30"/>
          <w:szCs w:val="30"/>
          <w:lang w:val="en-US" w:eastAsia="zh-CN"/>
        </w:rPr>
        <w:t>26</w:t>
      </w:r>
      <w:r>
        <w:rPr>
          <w:rFonts w:hint="eastAsia" w:ascii="仿宋_GB2312" w:hAnsi="宋体" w:eastAsia="仿宋_GB2312"/>
          <w:color w:val="auto"/>
          <w:sz w:val="30"/>
          <w:szCs w:val="30"/>
        </w:rPr>
        <w:t>年</w:t>
      </w:r>
      <w:r>
        <w:rPr>
          <w:rFonts w:hint="eastAsia" w:ascii="仿宋_GB2312" w:hAnsi="宋体"/>
          <w:color w:val="auto"/>
          <w:sz w:val="30"/>
          <w:szCs w:val="30"/>
          <w:lang w:val="en-US" w:eastAsia="zh-CN"/>
        </w:rPr>
        <w:t>1-3</w:t>
      </w:r>
      <w:r>
        <w:rPr>
          <w:rFonts w:hint="eastAsia" w:ascii="仿宋_GB2312" w:hAnsi="宋体" w:eastAsia="仿宋_GB2312"/>
          <w:color w:val="auto"/>
          <w:sz w:val="30"/>
          <w:szCs w:val="30"/>
        </w:rPr>
        <w:t>月，在前期工作的基础之上，通过理清逻辑脉络，整合已有的参考资料中有关地震安全性评价现场工作要求，并结合地震安全性评价现场工作实际要求的基础上，按照简化、统一等原则编制完成团体标准《地震安全性评价现场工作技术规范》（草案）。</w:t>
      </w:r>
    </w:p>
    <w:p w14:paraId="1F6A96F1">
      <w:pPr>
        <w:keepNext w:val="0"/>
        <w:keepLines w:val="0"/>
        <w:pageBreakBefore w:val="0"/>
        <w:kinsoku/>
        <w:overflowPunct/>
        <w:topLinePunct w:val="0"/>
        <w:bidi w:val="0"/>
        <w:snapToGrid/>
        <w:ind w:left="0" w:firstLine="600" w:firstLineChars="200"/>
        <w:textAlignment w:val="auto"/>
        <w:rPr>
          <w:rFonts w:hint="eastAsia" w:ascii="仿宋_GB2312" w:hAnsi="宋体" w:eastAsia="仿宋_GB2312"/>
          <w:color w:val="auto"/>
          <w:sz w:val="30"/>
          <w:szCs w:val="30"/>
        </w:rPr>
      </w:pPr>
      <w:r>
        <w:rPr>
          <w:rFonts w:hint="eastAsia" w:ascii="仿宋_GB2312" w:hAnsi="宋体" w:eastAsia="仿宋_GB2312"/>
          <w:color w:val="auto"/>
          <w:sz w:val="30"/>
          <w:szCs w:val="30"/>
        </w:rPr>
        <w:t>20</w:t>
      </w:r>
      <w:r>
        <w:rPr>
          <w:rFonts w:hint="eastAsia" w:ascii="仿宋_GB2312" w:hAnsi="宋体"/>
          <w:color w:val="auto"/>
          <w:sz w:val="30"/>
          <w:szCs w:val="30"/>
          <w:lang w:val="en-US" w:eastAsia="zh-CN"/>
        </w:rPr>
        <w:t>26</w:t>
      </w:r>
      <w:r>
        <w:rPr>
          <w:rFonts w:hint="eastAsia" w:ascii="仿宋_GB2312" w:hAnsi="宋体" w:eastAsia="仿宋_GB2312"/>
          <w:color w:val="auto"/>
          <w:sz w:val="30"/>
          <w:szCs w:val="30"/>
        </w:rPr>
        <w:t>年</w:t>
      </w:r>
      <w:r>
        <w:rPr>
          <w:rFonts w:hint="eastAsia" w:ascii="仿宋_GB2312" w:hAnsi="宋体"/>
          <w:color w:val="auto"/>
          <w:sz w:val="30"/>
          <w:szCs w:val="30"/>
          <w:lang w:val="en-US" w:eastAsia="zh-CN"/>
        </w:rPr>
        <w:t>4</w:t>
      </w:r>
      <w:r>
        <w:rPr>
          <w:rFonts w:hint="eastAsia" w:ascii="仿宋_GB2312" w:hAnsi="宋体" w:eastAsia="仿宋_GB2312"/>
          <w:color w:val="auto"/>
          <w:sz w:val="30"/>
          <w:szCs w:val="30"/>
        </w:rPr>
        <w:t>月，标准起草工作组到</w:t>
      </w:r>
      <w:r>
        <w:rPr>
          <w:rFonts w:ascii="仿宋_GB2312" w:hAnsi="宋体" w:eastAsia="仿宋_GB2312"/>
          <w:color w:val="auto"/>
          <w:sz w:val="30"/>
          <w:szCs w:val="30"/>
        </w:rPr>
        <w:t>相关单位和科研机构进行调研，</w:t>
      </w:r>
      <w:r>
        <w:rPr>
          <w:rFonts w:hint="eastAsia" w:ascii="仿宋_GB2312" w:hAnsi="宋体" w:eastAsia="仿宋_GB2312"/>
          <w:color w:val="auto"/>
          <w:sz w:val="30"/>
          <w:szCs w:val="30"/>
        </w:rPr>
        <w:t>并实际征求意见，通过收集反馈了大量意见，标准编制工作组多次召开会议，对标准草案进行了反复修改和研究讨论。进一步讨论完善标准草案，形成团体标准《地震安全性评价现场工作技术规范》（征求意见稿）和（征求意见稿）编制说明。</w:t>
      </w:r>
    </w:p>
    <w:p w14:paraId="3B832357">
      <w:pPr>
        <w:keepNext w:val="0"/>
        <w:keepLines w:val="0"/>
        <w:pageBreakBefore w:val="0"/>
        <w:kinsoku/>
        <w:overflowPunct/>
        <w:topLinePunct w:val="0"/>
        <w:autoSpaceDE w:val="0"/>
        <w:autoSpaceDN w:val="0"/>
        <w:bidi w:val="0"/>
        <w:adjustRightInd w:val="0"/>
        <w:snapToGrid/>
        <w:ind w:left="0"/>
        <w:jc w:val="left"/>
        <w:textAlignment w:val="auto"/>
        <w:rPr>
          <w:rFonts w:eastAsia="黑体"/>
          <w:bCs/>
          <w:sz w:val="32"/>
          <w:szCs w:val="32"/>
        </w:rPr>
      </w:pPr>
      <w:bookmarkStart w:id="0" w:name="_Toc526940083"/>
      <w:r>
        <w:rPr>
          <w:rFonts w:eastAsia="黑体"/>
          <w:bCs/>
          <w:sz w:val="32"/>
          <w:szCs w:val="32"/>
        </w:rPr>
        <w:t>四、</w:t>
      </w:r>
      <w:bookmarkEnd w:id="0"/>
      <w:r>
        <w:rPr>
          <w:rFonts w:eastAsia="黑体"/>
          <w:bCs/>
          <w:sz w:val="32"/>
          <w:szCs w:val="32"/>
        </w:rPr>
        <w:t>制定标准的原则和依据，与现行法律、法规的关系，与有关国家标准、行业标准的协调情况</w:t>
      </w:r>
    </w:p>
    <w:p w14:paraId="30EFA250">
      <w:pPr>
        <w:pStyle w:val="10"/>
        <w:keepNext w:val="0"/>
        <w:keepLines w:val="0"/>
        <w:pageBreakBefore w:val="0"/>
        <w:kinsoku/>
        <w:overflowPunct/>
        <w:topLinePunct w:val="0"/>
        <w:bidi w:val="0"/>
        <w:snapToGrid/>
        <w:spacing w:line="560" w:lineRule="exact"/>
        <w:ind w:left="0" w:firstLine="0" w:firstLineChars="0"/>
        <w:textAlignment w:val="auto"/>
        <w:outlineLvl w:val="1"/>
        <w:rPr>
          <w:rFonts w:ascii="Times New Roman" w:eastAsia="仿宋"/>
          <w:b/>
          <w:bCs/>
          <w:sz w:val="32"/>
          <w:szCs w:val="32"/>
        </w:rPr>
      </w:pPr>
      <w:r>
        <w:rPr>
          <w:rFonts w:ascii="Times New Roman" w:eastAsia="仿宋"/>
          <w:b/>
          <w:bCs/>
          <w:sz w:val="32"/>
          <w:szCs w:val="32"/>
        </w:rPr>
        <w:t>（一）编制原则</w:t>
      </w:r>
    </w:p>
    <w:p w14:paraId="7432AB81">
      <w:pPr>
        <w:keepNext w:val="0"/>
        <w:keepLines w:val="0"/>
        <w:pageBreakBefore w:val="0"/>
        <w:tabs>
          <w:tab w:val="center" w:pos="4201"/>
          <w:tab w:val="right" w:leader="dot" w:pos="9298"/>
        </w:tabs>
        <w:kinsoku/>
        <w:overflowPunct/>
        <w:topLinePunct w:val="0"/>
        <w:autoSpaceDE w:val="0"/>
        <w:autoSpaceDN w:val="0"/>
        <w:bidi w:val="0"/>
        <w:snapToGrid/>
        <w:ind w:left="0" w:firstLine="643"/>
        <w:textAlignment w:val="auto"/>
        <w:outlineLvl w:val="2"/>
        <w:rPr>
          <w:rFonts w:eastAsia="仿宋"/>
          <w:b/>
          <w:bCs/>
          <w:kern w:val="0"/>
          <w:sz w:val="32"/>
          <w:szCs w:val="32"/>
        </w:rPr>
      </w:pPr>
      <w:r>
        <w:rPr>
          <w:rFonts w:eastAsia="仿宋"/>
          <w:b/>
          <w:bCs/>
          <w:kern w:val="0"/>
          <w:sz w:val="32"/>
          <w:szCs w:val="32"/>
        </w:rPr>
        <w:t>1、实用性原则</w:t>
      </w:r>
    </w:p>
    <w:p w14:paraId="096AD80F">
      <w:pPr>
        <w:keepNext w:val="0"/>
        <w:keepLines w:val="0"/>
        <w:pageBreakBefore w:val="0"/>
        <w:kinsoku/>
        <w:overflowPunct/>
        <w:topLinePunct w:val="0"/>
        <w:bidi w:val="0"/>
        <w:snapToGrid/>
        <w:ind w:left="0" w:firstLine="640" w:firstLineChars="200"/>
        <w:textAlignment w:val="auto"/>
        <w:rPr>
          <w:rFonts w:ascii="仿宋_GB2312" w:hAnsi="宋体" w:eastAsia="仿宋_GB2312"/>
          <w:color w:val="auto"/>
          <w:sz w:val="32"/>
          <w:szCs w:val="28"/>
        </w:rPr>
      </w:pPr>
      <w:r>
        <w:rPr>
          <w:rFonts w:hint="eastAsia" w:ascii="仿宋_GB2312" w:hAnsi="宋体" w:eastAsia="仿宋_GB2312"/>
          <w:color w:val="auto"/>
          <w:sz w:val="32"/>
          <w:szCs w:val="28"/>
        </w:rPr>
        <w:t>本文件是在充分收集相关资料和文献，分析地震安全性评价现场工作当前现状，在现有相关地震安全性评价现场工作要求的基础上，结合编制单位</w:t>
      </w:r>
      <w:r>
        <w:rPr>
          <w:rFonts w:ascii="仿宋_GB2312" w:hAnsi="宋体" w:eastAsia="仿宋_GB2312"/>
          <w:color w:val="auto"/>
          <w:sz w:val="32"/>
          <w:szCs w:val="28"/>
        </w:rPr>
        <w:t>多年</w:t>
      </w:r>
      <w:r>
        <w:rPr>
          <w:rFonts w:hint="eastAsia" w:ascii="仿宋_GB2312" w:hAnsi="宋体" w:eastAsia="仿宋_GB2312"/>
          <w:color w:val="auto"/>
          <w:sz w:val="32"/>
          <w:szCs w:val="28"/>
        </w:rPr>
        <w:t>相关经验而总结起草的，符合当前地震安全性评价现场工作发展的方向，具有较强的实用性和可操作性。</w:t>
      </w:r>
    </w:p>
    <w:p w14:paraId="62EF7D35">
      <w:pPr>
        <w:keepNext w:val="0"/>
        <w:keepLines w:val="0"/>
        <w:pageBreakBefore w:val="0"/>
        <w:tabs>
          <w:tab w:val="center" w:pos="4201"/>
          <w:tab w:val="right" w:leader="dot" w:pos="9298"/>
        </w:tabs>
        <w:kinsoku/>
        <w:overflowPunct/>
        <w:topLinePunct w:val="0"/>
        <w:autoSpaceDE w:val="0"/>
        <w:autoSpaceDN w:val="0"/>
        <w:bidi w:val="0"/>
        <w:snapToGrid/>
        <w:ind w:left="0" w:firstLine="643"/>
        <w:textAlignment w:val="auto"/>
        <w:outlineLvl w:val="2"/>
        <w:rPr>
          <w:rFonts w:eastAsia="仿宋"/>
          <w:b/>
          <w:bCs/>
          <w:color w:val="auto"/>
          <w:kern w:val="0"/>
          <w:sz w:val="32"/>
          <w:szCs w:val="32"/>
        </w:rPr>
      </w:pPr>
      <w:r>
        <w:rPr>
          <w:rFonts w:hint="eastAsia" w:eastAsia="仿宋"/>
          <w:b/>
          <w:bCs/>
          <w:color w:val="auto"/>
          <w:kern w:val="0"/>
          <w:sz w:val="32"/>
          <w:szCs w:val="32"/>
        </w:rPr>
        <w:t>2、协调性原则</w:t>
      </w:r>
    </w:p>
    <w:p w14:paraId="18A33837">
      <w:pPr>
        <w:keepNext w:val="0"/>
        <w:keepLines w:val="0"/>
        <w:pageBreakBefore w:val="0"/>
        <w:kinsoku/>
        <w:overflowPunct/>
        <w:topLinePunct w:val="0"/>
        <w:bidi w:val="0"/>
        <w:snapToGrid/>
        <w:ind w:left="0" w:firstLine="640" w:firstLineChars="200"/>
        <w:textAlignment w:val="auto"/>
        <w:rPr>
          <w:rFonts w:ascii="仿宋_GB2312" w:hAnsi="宋体" w:eastAsia="仿宋_GB2312"/>
          <w:color w:val="auto"/>
          <w:sz w:val="32"/>
          <w:szCs w:val="28"/>
        </w:rPr>
      </w:pPr>
      <w:r>
        <w:rPr>
          <w:rFonts w:hint="eastAsia" w:ascii="仿宋_GB2312" w:hAnsi="宋体" w:eastAsia="仿宋_GB2312"/>
          <w:color w:val="auto"/>
          <w:sz w:val="32"/>
          <w:szCs w:val="28"/>
        </w:rPr>
        <w:t>本文件编写过程中注意了与地震安全性评价现场工作相关法律法规的协调问题，在内容上与现行法律法规、标准协调一致。</w:t>
      </w:r>
    </w:p>
    <w:p w14:paraId="48B06747">
      <w:pPr>
        <w:keepNext w:val="0"/>
        <w:keepLines w:val="0"/>
        <w:pageBreakBefore w:val="0"/>
        <w:tabs>
          <w:tab w:val="center" w:pos="4201"/>
          <w:tab w:val="right" w:leader="dot" w:pos="9298"/>
        </w:tabs>
        <w:kinsoku/>
        <w:overflowPunct/>
        <w:topLinePunct w:val="0"/>
        <w:autoSpaceDE w:val="0"/>
        <w:autoSpaceDN w:val="0"/>
        <w:bidi w:val="0"/>
        <w:snapToGrid/>
        <w:ind w:left="0" w:firstLine="643"/>
        <w:textAlignment w:val="auto"/>
        <w:outlineLvl w:val="2"/>
        <w:rPr>
          <w:rFonts w:eastAsia="仿宋"/>
          <w:b/>
          <w:bCs/>
          <w:color w:val="auto"/>
          <w:kern w:val="0"/>
          <w:sz w:val="32"/>
          <w:szCs w:val="32"/>
        </w:rPr>
      </w:pPr>
      <w:r>
        <w:rPr>
          <w:rFonts w:hint="eastAsia" w:eastAsia="仿宋"/>
          <w:b/>
          <w:bCs/>
          <w:color w:val="auto"/>
          <w:kern w:val="0"/>
          <w:sz w:val="32"/>
          <w:szCs w:val="32"/>
        </w:rPr>
        <w:t>3、规范性原则</w:t>
      </w:r>
    </w:p>
    <w:p w14:paraId="3276EBB5">
      <w:pPr>
        <w:keepNext w:val="0"/>
        <w:keepLines w:val="0"/>
        <w:pageBreakBefore w:val="0"/>
        <w:kinsoku/>
        <w:overflowPunct/>
        <w:topLinePunct w:val="0"/>
        <w:bidi w:val="0"/>
        <w:snapToGrid/>
        <w:ind w:left="0" w:firstLine="640" w:firstLineChars="200"/>
        <w:textAlignment w:val="auto"/>
        <w:rPr>
          <w:rFonts w:ascii="仿宋_GB2312" w:hAnsi="宋体" w:eastAsia="仿宋_GB2312"/>
          <w:color w:val="auto"/>
          <w:sz w:val="32"/>
          <w:szCs w:val="28"/>
        </w:rPr>
      </w:pPr>
      <w:r>
        <w:rPr>
          <w:rFonts w:hint="eastAsia" w:ascii="仿宋_GB2312" w:hAnsi="宋体" w:eastAsia="仿宋_GB2312"/>
          <w:color w:val="auto"/>
          <w:sz w:val="32"/>
          <w:szCs w:val="28"/>
        </w:rPr>
        <w:t>本文件严格参照GB/T 1.1—2020《标准化工作导则  第1部分：标准化文件的结构和起草规则》编写本标准的内容，保证标准的编写质量。</w:t>
      </w:r>
    </w:p>
    <w:p w14:paraId="173D3B39">
      <w:pPr>
        <w:keepNext w:val="0"/>
        <w:keepLines w:val="0"/>
        <w:pageBreakBefore w:val="0"/>
        <w:tabs>
          <w:tab w:val="center" w:pos="4201"/>
          <w:tab w:val="right" w:leader="dot" w:pos="9298"/>
        </w:tabs>
        <w:kinsoku/>
        <w:overflowPunct/>
        <w:topLinePunct w:val="0"/>
        <w:autoSpaceDE w:val="0"/>
        <w:autoSpaceDN w:val="0"/>
        <w:bidi w:val="0"/>
        <w:snapToGrid/>
        <w:ind w:left="0" w:firstLine="643"/>
        <w:textAlignment w:val="auto"/>
        <w:outlineLvl w:val="2"/>
        <w:rPr>
          <w:rFonts w:eastAsia="仿宋"/>
          <w:b/>
          <w:bCs/>
          <w:color w:val="auto"/>
          <w:kern w:val="0"/>
          <w:sz w:val="32"/>
          <w:szCs w:val="32"/>
        </w:rPr>
      </w:pPr>
      <w:r>
        <w:rPr>
          <w:rFonts w:hint="eastAsia" w:eastAsia="仿宋"/>
          <w:b/>
          <w:bCs/>
          <w:color w:val="auto"/>
          <w:kern w:val="0"/>
          <w:sz w:val="32"/>
          <w:szCs w:val="32"/>
        </w:rPr>
        <w:t>4、前瞻性原则</w:t>
      </w:r>
    </w:p>
    <w:p w14:paraId="2315C397">
      <w:pPr>
        <w:keepNext w:val="0"/>
        <w:keepLines w:val="0"/>
        <w:pageBreakBefore w:val="0"/>
        <w:kinsoku/>
        <w:overflowPunct/>
        <w:topLinePunct w:val="0"/>
        <w:bidi w:val="0"/>
        <w:snapToGrid/>
        <w:ind w:left="0" w:firstLine="640" w:firstLineChars="200"/>
        <w:textAlignment w:val="auto"/>
        <w:rPr>
          <w:rFonts w:ascii="仿宋_GB2312" w:hAnsi="宋体" w:eastAsia="仿宋_GB2312"/>
          <w:color w:val="auto"/>
          <w:sz w:val="32"/>
          <w:szCs w:val="28"/>
        </w:rPr>
      </w:pPr>
      <w:r>
        <w:rPr>
          <w:rFonts w:hint="eastAsia" w:ascii="仿宋_GB2312" w:hAnsi="宋体" w:eastAsia="仿宋_GB2312"/>
          <w:color w:val="auto"/>
          <w:sz w:val="32"/>
          <w:szCs w:val="28"/>
        </w:rPr>
        <w:t>本文件在兼顾当前区内地震安全性评价现场工作现实情况的同时，还考虑到了地震安全性评价现场工作快速发展的趋势和需要，在标准中体现了个别特色性、前瞻性和先进性条款，作为对地震安全性评价现场工作发展的指导。</w:t>
      </w:r>
    </w:p>
    <w:p w14:paraId="323DB155">
      <w:pPr>
        <w:keepNext w:val="0"/>
        <w:keepLines w:val="0"/>
        <w:pageBreakBefore w:val="0"/>
        <w:widowControl/>
        <w:tabs>
          <w:tab w:val="center" w:pos="4201"/>
          <w:tab w:val="right" w:leader="dot" w:pos="9298"/>
        </w:tabs>
        <w:kinsoku/>
        <w:overflowPunct/>
        <w:topLinePunct w:val="0"/>
        <w:autoSpaceDE w:val="0"/>
        <w:autoSpaceDN w:val="0"/>
        <w:bidi w:val="0"/>
        <w:snapToGrid/>
        <w:spacing w:line="560" w:lineRule="exact"/>
        <w:ind w:left="0"/>
        <w:textAlignment w:val="auto"/>
        <w:outlineLvl w:val="1"/>
        <w:rPr>
          <w:rFonts w:eastAsia="仿宋"/>
          <w:b/>
          <w:bCs/>
          <w:color w:val="auto"/>
          <w:kern w:val="0"/>
          <w:sz w:val="32"/>
          <w:szCs w:val="32"/>
        </w:rPr>
      </w:pPr>
      <w:r>
        <w:rPr>
          <w:rFonts w:eastAsia="仿宋"/>
          <w:b/>
          <w:bCs/>
          <w:color w:val="auto"/>
          <w:kern w:val="0"/>
          <w:sz w:val="32"/>
          <w:szCs w:val="32"/>
        </w:rPr>
        <w:t>（二）编制依据</w:t>
      </w:r>
    </w:p>
    <w:p w14:paraId="03C8CA65">
      <w:pPr>
        <w:keepNext w:val="0"/>
        <w:keepLines w:val="0"/>
        <w:pageBreakBefore w:val="0"/>
        <w:kinsoku/>
        <w:overflowPunct/>
        <w:topLinePunct w:val="0"/>
        <w:bidi w:val="0"/>
        <w:snapToGrid/>
        <w:ind w:left="0" w:firstLine="640" w:firstLineChars="200"/>
        <w:textAlignment w:val="auto"/>
        <w:rPr>
          <w:rFonts w:eastAsia="仿宋"/>
          <w:color w:val="auto"/>
          <w:sz w:val="32"/>
          <w:szCs w:val="32"/>
        </w:rPr>
      </w:pPr>
      <w:r>
        <w:rPr>
          <w:rFonts w:eastAsia="仿宋"/>
          <w:color w:val="auto"/>
          <w:sz w:val="32"/>
          <w:szCs w:val="32"/>
        </w:rPr>
        <w:t>本标准严格按照GB/T 1.1—2020《标准化工作导则  第1部分：标准化文件的结构和起草规则》的规则起草，标准主要内容参考相关标准文件并结合起草单位多年的</w:t>
      </w:r>
      <w:r>
        <w:rPr>
          <w:rFonts w:hint="eastAsia" w:eastAsia="仿宋"/>
          <w:color w:val="auto"/>
          <w:sz w:val="32"/>
          <w:szCs w:val="32"/>
        </w:rPr>
        <w:t>相关</w:t>
      </w:r>
      <w:r>
        <w:rPr>
          <w:rFonts w:eastAsia="仿宋"/>
          <w:color w:val="auto"/>
          <w:sz w:val="32"/>
          <w:szCs w:val="32"/>
        </w:rPr>
        <w:t>经验</w:t>
      </w:r>
      <w:r>
        <w:rPr>
          <w:rFonts w:hint="eastAsia" w:eastAsia="仿宋"/>
          <w:color w:val="auto"/>
          <w:sz w:val="32"/>
          <w:szCs w:val="32"/>
        </w:rPr>
        <w:t>和实践</w:t>
      </w:r>
      <w:r>
        <w:rPr>
          <w:rFonts w:eastAsia="仿宋"/>
          <w:color w:val="auto"/>
          <w:sz w:val="32"/>
          <w:szCs w:val="32"/>
        </w:rPr>
        <w:t>验证情况总结进行起草。</w:t>
      </w:r>
    </w:p>
    <w:p w14:paraId="4909473A">
      <w:pPr>
        <w:keepNext w:val="0"/>
        <w:keepLines w:val="0"/>
        <w:pageBreakBefore w:val="0"/>
        <w:widowControl/>
        <w:tabs>
          <w:tab w:val="center" w:pos="4201"/>
          <w:tab w:val="right" w:leader="dot" w:pos="9298"/>
        </w:tabs>
        <w:kinsoku/>
        <w:overflowPunct/>
        <w:topLinePunct w:val="0"/>
        <w:autoSpaceDE w:val="0"/>
        <w:autoSpaceDN w:val="0"/>
        <w:bidi w:val="0"/>
        <w:snapToGrid/>
        <w:spacing w:line="560" w:lineRule="exact"/>
        <w:ind w:left="0"/>
        <w:textAlignment w:val="auto"/>
        <w:outlineLvl w:val="1"/>
        <w:rPr>
          <w:rFonts w:eastAsia="仿宋"/>
          <w:b/>
          <w:bCs/>
          <w:color w:val="auto"/>
          <w:kern w:val="0"/>
          <w:sz w:val="32"/>
          <w:szCs w:val="32"/>
        </w:rPr>
      </w:pPr>
      <w:r>
        <w:rPr>
          <w:rFonts w:eastAsia="仿宋"/>
          <w:b/>
          <w:bCs/>
          <w:color w:val="auto"/>
          <w:kern w:val="0"/>
          <w:sz w:val="32"/>
          <w:szCs w:val="32"/>
        </w:rPr>
        <w:t>（三）与现行法律、法规的关系，与有关国家标准、行业标准的协调情况</w:t>
      </w:r>
    </w:p>
    <w:p w14:paraId="03FE614D">
      <w:pPr>
        <w:keepNext w:val="0"/>
        <w:keepLines w:val="0"/>
        <w:pageBreakBefore w:val="0"/>
        <w:kinsoku/>
        <w:overflowPunct/>
        <w:topLinePunct w:val="0"/>
        <w:bidi w:val="0"/>
        <w:snapToGrid/>
        <w:ind w:left="0" w:firstLine="640" w:firstLineChars="200"/>
        <w:textAlignment w:val="auto"/>
        <w:rPr>
          <w:rFonts w:eastAsia="仿宋"/>
          <w:color w:val="auto"/>
          <w:sz w:val="32"/>
          <w:szCs w:val="32"/>
        </w:rPr>
      </w:pPr>
      <w:r>
        <w:rPr>
          <w:rFonts w:hint="eastAsia" w:eastAsia="仿宋"/>
          <w:color w:val="auto"/>
          <w:sz w:val="32"/>
          <w:szCs w:val="32"/>
        </w:rPr>
        <w:t>本编制工作组承诺本标准内容与各项指标不违反相关法律法规要求，且不低于国家强制性标准、推荐性国家标准和行业标准要求。</w:t>
      </w:r>
    </w:p>
    <w:p w14:paraId="1E1138AD">
      <w:pPr>
        <w:keepNext w:val="0"/>
        <w:keepLines w:val="0"/>
        <w:pageBreakBefore w:val="0"/>
        <w:kinsoku/>
        <w:overflowPunct/>
        <w:topLinePunct w:val="0"/>
        <w:bidi w:val="0"/>
        <w:snapToGrid/>
        <w:ind w:left="0" w:firstLine="640" w:firstLineChars="200"/>
        <w:textAlignment w:val="auto"/>
        <w:rPr>
          <w:rFonts w:hint="eastAsia" w:ascii="仿宋_GB2312" w:hAnsi="宋体" w:eastAsia="仿宋_GB2312"/>
          <w:color w:val="auto"/>
          <w:sz w:val="32"/>
          <w:szCs w:val="28"/>
        </w:rPr>
      </w:pPr>
      <w:r>
        <w:rPr>
          <w:rFonts w:hint="eastAsia" w:ascii="仿宋_GB2312" w:hAnsi="宋体" w:eastAsia="仿宋_GB2312"/>
          <w:color w:val="auto"/>
          <w:sz w:val="32"/>
          <w:szCs w:val="28"/>
        </w:rPr>
        <w:t>经查询，与“地震安全性评价”相关的标准主要有:</w:t>
      </w:r>
    </w:p>
    <w:p w14:paraId="4DC44234">
      <w:pPr>
        <w:keepNext w:val="0"/>
        <w:keepLines w:val="0"/>
        <w:pageBreakBefore w:val="0"/>
        <w:kinsoku/>
        <w:overflowPunct/>
        <w:topLinePunct w:val="0"/>
        <w:bidi w:val="0"/>
        <w:snapToGrid/>
        <w:ind w:left="0" w:firstLine="640" w:firstLineChars="200"/>
        <w:textAlignment w:val="auto"/>
        <w:rPr>
          <w:rFonts w:hint="eastAsia" w:ascii="仿宋_GB2312" w:hAnsi="宋体" w:eastAsia="仿宋_GB2312"/>
          <w:sz w:val="32"/>
          <w:szCs w:val="28"/>
        </w:rPr>
      </w:pPr>
      <w:r>
        <w:rPr>
          <w:rFonts w:hint="eastAsia" w:ascii="仿宋_GB2312" w:hAnsi="宋体" w:eastAsia="仿宋_GB2312"/>
          <w:color w:val="auto"/>
          <w:sz w:val="32"/>
          <w:szCs w:val="28"/>
        </w:rPr>
        <w:t>《GB17741-2005 工程场地地震安全性评价》《DB/T100-2024 区域性地震安全性评价》《DL/T5494-2014 电力工程场地地震安全性评价规程》《DB11/T2213-2024区域性地震安全性评价工作技术规范》 《DB12/T 1447-2025 区域性地震安全性评价技术规范》《DB13/T 5961-2024 区域性地震安全性评价技术规范》《DB14/T2259-2021区域性地震安全性评价技术规范》《DB15/T 3668-2024 区域性地震安全性评价技术规范》《DB32/T4050-2021 区域性地震安全性评价技术规范》《DB34/T4165-2022</w:t>
      </w:r>
      <w:r>
        <w:rPr>
          <w:rFonts w:hint="eastAsia" w:ascii="仿宋_GB2312" w:hAnsi="宋体" w:eastAsia="仿宋_GB2312"/>
          <w:sz w:val="32"/>
          <w:szCs w:val="28"/>
        </w:rPr>
        <w:t xml:space="preserve"> 区域性地震安全性评价技术规范》《DB37/T 3646-2019 区域性地震安全性评价技术规范》。</w:t>
      </w:r>
    </w:p>
    <w:p w14:paraId="54C882F5">
      <w:pPr>
        <w:keepNext w:val="0"/>
        <w:keepLines w:val="0"/>
        <w:pageBreakBefore w:val="0"/>
        <w:kinsoku/>
        <w:overflowPunct/>
        <w:topLinePunct w:val="0"/>
        <w:bidi w:val="0"/>
        <w:snapToGrid/>
        <w:ind w:left="0" w:firstLine="640" w:firstLineChars="200"/>
        <w:textAlignment w:val="auto"/>
        <w:rPr>
          <w:rFonts w:hint="eastAsia" w:ascii="仿宋_GB2312" w:hAnsi="宋体" w:eastAsia="仿宋_GB2312"/>
          <w:sz w:val="32"/>
          <w:szCs w:val="28"/>
        </w:rPr>
      </w:pPr>
      <w:r>
        <w:rPr>
          <w:rFonts w:hint="eastAsia" w:ascii="仿宋_GB2312" w:hAnsi="宋体" w:eastAsia="仿宋_GB2312"/>
          <w:sz w:val="32"/>
          <w:szCs w:val="28"/>
        </w:rPr>
        <w:t>其中，《GB17741-2005工程场地地震安全性评价》规定了工程场地地震安全性评价的技术要求和技术方法，适用于各类建设工程选址与抗震设防要求的确定、防震减灾规划，社会经济发展规划等工作中所涉及的工程场地地震安全性评价。其他地方标准主要规定了区域性地震安全性评价的工作内容、技术要求和技术方法。</w:t>
      </w:r>
    </w:p>
    <w:p w14:paraId="7FA8BB82">
      <w:pPr>
        <w:keepNext w:val="0"/>
        <w:keepLines w:val="0"/>
        <w:pageBreakBefore w:val="0"/>
        <w:kinsoku/>
        <w:overflowPunct/>
        <w:topLinePunct w:val="0"/>
        <w:bidi w:val="0"/>
        <w:snapToGrid/>
        <w:ind w:left="0" w:firstLine="640" w:firstLineChars="200"/>
        <w:textAlignment w:val="auto"/>
        <w:rPr>
          <w:rFonts w:ascii="仿宋_GB2312" w:hAnsi="宋体" w:eastAsia="仿宋_GB2312"/>
          <w:sz w:val="32"/>
          <w:szCs w:val="28"/>
        </w:rPr>
      </w:pPr>
      <w:r>
        <w:rPr>
          <w:rFonts w:hint="eastAsia" w:ascii="仿宋_GB2312" w:hAnsi="宋体" w:eastAsia="仿宋_GB2312"/>
          <w:sz w:val="32"/>
          <w:szCs w:val="28"/>
        </w:rPr>
        <w:t>综述，上述标准未有系统详细针对地震安全性评价现场工作进行描述，本标准详细规定了钻孔布设、钻孔深度、钻探施工、剪切波速测试、原状土样采集、砂土液化判定、断层勘查和活动性鉴定等要求。</w:t>
      </w:r>
    </w:p>
    <w:p w14:paraId="14FD2F15">
      <w:pPr>
        <w:keepNext w:val="0"/>
        <w:keepLines w:val="0"/>
        <w:pageBreakBefore w:val="0"/>
        <w:kinsoku/>
        <w:overflowPunct/>
        <w:topLinePunct w:val="0"/>
        <w:autoSpaceDE w:val="0"/>
        <w:autoSpaceDN w:val="0"/>
        <w:bidi w:val="0"/>
        <w:adjustRightInd w:val="0"/>
        <w:snapToGrid/>
        <w:spacing w:line="560" w:lineRule="exact"/>
        <w:ind w:left="0" w:firstLine="640" w:firstLineChars="200"/>
        <w:jc w:val="left"/>
        <w:textAlignment w:val="auto"/>
        <w:rPr>
          <w:rFonts w:ascii="黑体" w:hAnsi="黑体" w:eastAsia="黑体" w:cs="仿宋_GB2312"/>
          <w:sz w:val="32"/>
          <w:szCs w:val="32"/>
        </w:rPr>
      </w:pPr>
      <w:bookmarkStart w:id="1" w:name="_Toc526940084"/>
      <w:r>
        <w:rPr>
          <w:rFonts w:hint="eastAsia" w:ascii="黑体" w:hAnsi="黑体" w:eastAsia="黑体" w:cs="仿宋_GB2312"/>
          <w:sz w:val="32"/>
          <w:szCs w:val="32"/>
        </w:rPr>
        <w:t>五、</w:t>
      </w:r>
      <w:bookmarkEnd w:id="1"/>
      <w:r>
        <w:rPr>
          <w:rFonts w:hint="eastAsia" w:ascii="黑体" w:hAnsi="黑体" w:eastAsia="黑体" w:cs="仿宋_GB2312"/>
          <w:sz w:val="32"/>
          <w:szCs w:val="32"/>
        </w:rPr>
        <w:t>主要条款的说明</w:t>
      </w:r>
    </w:p>
    <w:p w14:paraId="19DF1641">
      <w:pPr>
        <w:keepNext w:val="0"/>
        <w:keepLines w:val="0"/>
        <w:pageBreakBefore w:val="0"/>
        <w:kinsoku/>
        <w:overflowPunct/>
        <w:topLinePunct w:val="0"/>
        <w:bidi w:val="0"/>
        <w:snapToGrid/>
        <w:ind w:left="0" w:firstLine="640" w:firstLineChars="200"/>
        <w:textAlignment w:val="auto"/>
        <w:rPr>
          <w:rFonts w:hint="eastAsia" w:ascii="仿宋_GB2312" w:hAnsi="宋体" w:eastAsia="仿宋_GB2312"/>
          <w:color w:val="auto"/>
          <w:sz w:val="32"/>
          <w:szCs w:val="32"/>
          <w:lang w:val="zh-CN"/>
        </w:rPr>
      </w:pPr>
      <w:r>
        <w:rPr>
          <w:rFonts w:hint="eastAsia" w:ascii="仿宋_GB2312" w:hAnsi="宋体" w:eastAsia="仿宋_GB2312"/>
          <w:color w:val="auto"/>
          <w:sz w:val="32"/>
          <w:szCs w:val="32"/>
          <w:lang w:val="zh-CN"/>
        </w:rPr>
        <w:t>广西壮族自治区地震局、广西壮族自治区防震减灾和紧急救援办公室、广西壮族自治区震灾风险防治中心长期开展地震安全性评价工作。多年来，与国内多家权威机构和单位展开合作，例如与中国地震局地球物理研究所合作开展了多个重大工程的地震安全性评价项目，像一些大型核电站建设项目，通过合作积累了丰富的项目经验。在合作过程中，借鉴了权威机构先进的评价理念和技术方法，例如在地震动参数确定方面，引入了更精确的计算模型和分析手段，提高了评价结果的准确性。</w:t>
      </w:r>
    </w:p>
    <w:p w14:paraId="156532D9">
      <w:pPr>
        <w:keepNext w:val="0"/>
        <w:keepLines w:val="0"/>
        <w:pageBreakBefore w:val="0"/>
        <w:kinsoku/>
        <w:overflowPunct/>
        <w:topLinePunct w:val="0"/>
        <w:bidi w:val="0"/>
        <w:snapToGrid/>
        <w:ind w:left="0" w:firstLine="640" w:firstLineChars="200"/>
        <w:textAlignment w:val="auto"/>
        <w:rPr>
          <w:rFonts w:hint="eastAsia" w:ascii="仿宋_GB2312" w:hAnsi="宋体" w:eastAsia="仿宋_GB2312"/>
          <w:color w:val="auto"/>
          <w:sz w:val="32"/>
          <w:szCs w:val="32"/>
          <w:lang w:val="zh-CN"/>
        </w:rPr>
      </w:pPr>
      <w:r>
        <w:rPr>
          <w:rFonts w:hint="eastAsia" w:ascii="仿宋_GB2312" w:hAnsi="宋体" w:eastAsia="仿宋_GB2312"/>
          <w:color w:val="auto"/>
          <w:sz w:val="32"/>
          <w:szCs w:val="32"/>
          <w:lang w:val="zh-CN"/>
        </w:rPr>
        <w:t>在经验借鉴上，一方面学习权威机构严格的质量控制体系，从现场数据采集到最终报告编制，每个环节都有详细的审核流程，确保工作质量;另一方面，借鉴其在新兴技术应用方面的经验，如将三维激光扫描技术应用于断层勘查，提高了勘查效率和精度。</w:t>
      </w:r>
    </w:p>
    <w:p w14:paraId="38DCCD11">
      <w:pPr>
        <w:keepNext w:val="0"/>
        <w:keepLines w:val="0"/>
        <w:pageBreakBefore w:val="0"/>
        <w:kinsoku/>
        <w:overflowPunct/>
        <w:topLinePunct w:val="0"/>
        <w:bidi w:val="0"/>
        <w:snapToGrid/>
        <w:ind w:left="0" w:firstLine="640" w:firstLineChars="200"/>
        <w:textAlignment w:val="auto"/>
        <w:rPr>
          <w:rFonts w:hint="eastAsia" w:ascii="仿宋_GB2312" w:hAnsi="宋体" w:eastAsia="仿宋_GB2312"/>
          <w:color w:val="auto"/>
          <w:sz w:val="32"/>
          <w:szCs w:val="32"/>
          <w:lang w:val="zh-CN"/>
        </w:rPr>
      </w:pPr>
      <w:r>
        <w:rPr>
          <w:rFonts w:hint="eastAsia" w:ascii="仿宋_GB2312" w:hAnsi="宋体" w:eastAsia="仿宋_GB2312"/>
          <w:color w:val="auto"/>
          <w:sz w:val="32"/>
          <w:szCs w:val="32"/>
          <w:lang w:val="zh-CN"/>
        </w:rPr>
        <w:t>该现场工作技术内容已经推广给国内多个省级地震部门使用，包括但不限于云南、贵州、四川等地震多发地区的省级地震局。这些单位在应用后反馈，现场工作的规范性和数据质量得到显著提升，为当地重大工程的抗震设防提供了更有力的技术支撑。</w:t>
      </w:r>
    </w:p>
    <w:p w14:paraId="6C1EDCB7">
      <w:pPr>
        <w:keepNext w:val="0"/>
        <w:keepLines w:val="0"/>
        <w:pageBreakBefore w:val="0"/>
        <w:kinsoku/>
        <w:overflowPunct/>
        <w:topLinePunct w:val="0"/>
        <w:bidi w:val="0"/>
        <w:snapToGrid/>
        <w:ind w:left="0" w:firstLine="640" w:firstLineChars="200"/>
        <w:textAlignment w:val="auto"/>
        <w:rPr>
          <w:rFonts w:hint="eastAsia" w:ascii="仿宋_GB2312" w:hAnsi="宋体" w:eastAsia="仿宋_GB2312"/>
          <w:color w:val="auto"/>
          <w:sz w:val="32"/>
          <w:szCs w:val="32"/>
          <w:lang w:val="zh-CN"/>
        </w:rPr>
      </w:pPr>
      <w:r>
        <w:rPr>
          <w:rFonts w:hint="eastAsia" w:ascii="仿宋_GB2312" w:hAnsi="宋体" w:eastAsia="仿宋_GB2312"/>
          <w:color w:val="auto"/>
          <w:sz w:val="32"/>
          <w:szCs w:val="32"/>
          <w:lang w:val="zh-CN"/>
        </w:rPr>
        <w:t>团体标准《地震安全性评价现场工作技术规范》的主要章节内容包括：</w:t>
      </w:r>
      <w:r>
        <w:rPr>
          <w:rFonts w:hint="eastAsia" w:ascii="仿宋_GB2312" w:hAnsi="宋体"/>
          <w:color w:val="auto"/>
          <w:sz w:val="32"/>
          <w:szCs w:val="32"/>
          <w:lang w:val="en-US" w:eastAsia="zh-CN"/>
        </w:rPr>
        <w:t>工作准备、近场区断层活动性调查、场址附近及场地活动断层勘察、场地钻探、土样采集及测试、波速测试、地震地质灾害调查、资料处理与归档</w:t>
      </w:r>
      <w:r>
        <w:rPr>
          <w:rFonts w:hint="eastAsia" w:ascii="仿宋_GB2312" w:hAnsi="宋体" w:eastAsia="仿宋_GB2312"/>
          <w:color w:val="auto"/>
          <w:sz w:val="32"/>
          <w:szCs w:val="32"/>
          <w:lang w:val="zh-CN"/>
        </w:rPr>
        <w:t>。本文件主要内容及依据来源说明如下：</w:t>
      </w:r>
    </w:p>
    <w:p w14:paraId="40C50225">
      <w:pPr>
        <w:keepNext w:val="0"/>
        <w:keepLines w:val="0"/>
        <w:pageBreakBefore w:val="0"/>
        <w:kinsoku/>
        <w:overflowPunct/>
        <w:topLinePunct w:val="0"/>
        <w:bidi w:val="0"/>
        <w:snapToGrid/>
        <w:ind w:left="0" w:firstLine="640" w:firstLineChars="200"/>
        <w:textAlignment w:val="auto"/>
        <w:rPr>
          <w:rFonts w:ascii="仿宋_GB2312" w:hAnsi="宋体" w:eastAsia="仿宋_GB2312"/>
          <w:b w:val="0"/>
          <w:bCs/>
          <w:color w:val="auto"/>
          <w:sz w:val="32"/>
          <w:szCs w:val="32"/>
          <w:lang w:val="zh-CN"/>
        </w:rPr>
      </w:pPr>
      <w:r>
        <w:rPr>
          <w:rFonts w:hint="default" w:ascii="仿宋_GB2312" w:hAnsi="宋体" w:eastAsia="仿宋_GB2312" w:cs="Times New Roman"/>
          <w:b w:val="0"/>
          <w:bCs/>
          <w:color w:val="auto"/>
          <w:kern w:val="2"/>
          <w:sz w:val="32"/>
          <w:szCs w:val="32"/>
          <w:lang w:val="zh-CN" w:eastAsia="zh-CN" w:bidi="ar-SA"/>
        </w:rPr>
        <w:t>（一）</w:t>
      </w:r>
      <w:r>
        <w:rPr>
          <w:rFonts w:hint="eastAsia" w:ascii="仿宋_GB2312" w:hAnsi="宋体" w:eastAsia="仿宋_GB2312"/>
          <w:b w:val="0"/>
          <w:bCs/>
          <w:color w:val="auto"/>
          <w:sz w:val="32"/>
          <w:szCs w:val="32"/>
          <w:lang w:val="zh-CN"/>
        </w:rPr>
        <w:t>工作准备</w:t>
      </w:r>
    </w:p>
    <w:p w14:paraId="7C118FDE">
      <w:pPr>
        <w:keepNext w:val="0"/>
        <w:keepLines w:val="0"/>
        <w:pageBreakBefore w:val="0"/>
        <w:kinsoku/>
        <w:overflowPunct/>
        <w:topLinePunct w:val="0"/>
        <w:bidi w:val="0"/>
        <w:snapToGrid/>
        <w:ind w:left="0" w:firstLine="640" w:firstLineChars="200"/>
        <w:textAlignment w:val="auto"/>
        <w:rPr>
          <w:rFonts w:hint="default" w:ascii="仿宋_GB2312" w:hAnsi="宋体" w:eastAsia="仿宋_GB2312"/>
          <w:sz w:val="32"/>
          <w:szCs w:val="32"/>
          <w:lang w:val="en-US" w:eastAsia="zh-CN"/>
        </w:rPr>
      </w:pPr>
      <w:r>
        <w:rPr>
          <w:rFonts w:hint="eastAsia" w:ascii="仿宋_GB2312" w:hAnsi="宋体"/>
          <w:sz w:val="32"/>
          <w:szCs w:val="32"/>
          <w:lang w:val="en-US" w:eastAsia="zh-CN"/>
        </w:rPr>
        <w:t>1.1资料收集</w:t>
      </w:r>
    </w:p>
    <w:p w14:paraId="18FDFB3E">
      <w:pPr>
        <w:pStyle w:val="5"/>
        <w:keepNext w:val="0"/>
        <w:keepLines w:val="0"/>
        <w:widowControl/>
        <w:suppressLineNumbers w:val="0"/>
        <w:spacing w:before="0" w:beforeAutospacing="0" w:after="0" w:afterAutospacing="0"/>
        <w:ind w:left="0" w:right="0" w:firstLine="0"/>
        <w:rPr>
          <w:rFonts w:hint="eastAsia" w:ascii="仿宋_GB2312" w:hAnsi="宋体"/>
          <w:sz w:val="32"/>
          <w:szCs w:val="32"/>
          <w:lang w:val="zh-CN"/>
        </w:rPr>
      </w:pPr>
      <w:r>
        <w:rPr>
          <w:rFonts w:hint="eastAsia" w:ascii="仿宋_GB2312" w:hAnsi="宋体" w:eastAsia="仿宋_GB2312"/>
          <w:sz w:val="32"/>
          <w:szCs w:val="32"/>
          <w:lang w:val="zh-CN"/>
        </w:rPr>
        <w:t>近场区断层活动性鉴定的</w:t>
      </w:r>
      <w:r>
        <w:rPr>
          <w:rFonts w:hint="eastAsia" w:ascii="仿宋_GB2312" w:hAnsi="宋体"/>
          <w:sz w:val="32"/>
          <w:szCs w:val="32"/>
          <w:lang w:val="en-US" w:eastAsia="zh-CN"/>
        </w:rPr>
        <w:t>目的</w:t>
      </w:r>
      <w:r>
        <w:rPr>
          <w:rFonts w:hint="eastAsia" w:ascii="仿宋_GB2312" w:hAnsi="宋体" w:eastAsia="仿宋_GB2312"/>
          <w:sz w:val="32"/>
          <w:szCs w:val="32"/>
          <w:lang w:val="zh-CN"/>
        </w:rPr>
        <w:t>是查明主要断层的活动时代、性质、运动特性和分段等特征，并判定其最大潜在地震震级</w:t>
      </w:r>
      <w:r>
        <w:rPr>
          <w:rFonts w:hint="eastAsia" w:ascii="仿宋_GB2312" w:hAnsi="宋体"/>
          <w:sz w:val="32"/>
          <w:szCs w:val="32"/>
          <w:lang w:val="zh-CN"/>
        </w:rPr>
        <w:t>。《GB 17741</w:t>
      </w:r>
      <w:r>
        <w:rPr>
          <w:rFonts w:hint="eastAsia" w:ascii="仿宋_GB2312" w:hAnsi="宋体"/>
          <w:sz w:val="32"/>
          <w:szCs w:val="32"/>
          <w:lang w:val="en-US" w:eastAsia="zh-CN"/>
        </w:rPr>
        <w:t xml:space="preserve">  </w:t>
      </w:r>
      <w:r>
        <w:rPr>
          <w:rFonts w:hint="eastAsia" w:ascii="仿宋_GB2312" w:hAnsi="宋体"/>
          <w:sz w:val="32"/>
          <w:szCs w:val="32"/>
          <w:lang w:val="zh-CN"/>
        </w:rPr>
        <w:t>工程场地地震安全性评价》</w:t>
      </w:r>
      <w:r>
        <w:rPr>
          <w:rFonts w:hint="eastAsia" w:ascii="仿宋_GB2312" w:hAnsi="宋体"/>
          <w:sz w:val="32"/>
          <w:szCs w:val="32"/>
          <w:lang w:val="en-US" w:eastAsia="zh-CN"/>
        </w:rPr>
        <w:t>，</w:t>
      </w:r>
      <w:r>
        <w:rPr>
          <w:rFonts w:hint="eastAsia" w:ascii="仿宋_GB2312" w:hAnsi="宋体"/>
          <w:sz w:val="32"/>
          <w:szCs w:val="32"/>
          <w:lang w:val="zh-CN"/>
        </w:rPr>
        <w:t>要求收集与分析近场区地质</w:t>
      </w:r>
      <w:r>
        <w:rPr>
          <w:rFonts w:hint="eastAsia" w:ascii="仿宋_GB2312" w:hAnsi="宋体"/>
          <w:sz w:val="32"/>
          <w:szCs w:val="32"/>
          <w:lang w:val="en-US" w:eastAsia="zh-CN"/>
        </w:rPr>
        <w:t>构造资料</w:t>
      </w:r>
      <w:r>
        <w:rPr>
          <w:rFonts w:hint="eastAsia" w:ascii="仿宋_GB2312" w:hAnsi="宋体"/>
          <w:sz w:val="32"/>
          <w:szCs w:val="32"/>
          <w:lang w:val="zh-CN"/>
        </w:rPr>
        <w:t>、地球</w:t>
      </w:r>
      <w:r>
        <w:rPr>
          <w:rFonts w:hint="eastAsia" w:ascii="仿宋_GB2312" w:hAnsi="宋体"/>
          <w:sz w:val="32"/>
          <w:szCs w:val="32"/>
          <w:lang w:val="en-US" w:eastAsia="zh-CN"/>
        </w:rPr>
        <w:t>构造图等</w:t>
      </w:r>
      <w:r>
        <w:rPr>
          <w:rFonts w:hint="eastAsia" w:ascii="仿宋_GB2312" w:hAnsi="宋体"/>
          <w:sz w:val="32"/>
          <w:szCs w:val="32"/>
          <w:lang w:val="zh-CN"/>
        </w:rPr>
        <w:t>。I级工作应搜集第四纪地质和地貌资料，并进行现场调查，编制第四纪地质构造剖面图和平面图，分析第四纪构造活动特点。《DBT 100</w:t>
      </w:r>
      <w:r>
        <w:rPr>
          <w:rFonts w:hint="eastAsia" w:ascii="仿宋_GB2312" w:hAnsi="宋体"/>
          <w:sz w:val="32"/>
          <w:szCs w:val="32"/>
          <w:lang w:val="en-US" w:eastAsia="zh-CN"/>
        </w:rPr>
        <w:t xml:space="preserve">  </w:t>
      </w:r>
      <w:r>
        <w:rPr>
          <w:rFonts w:hint="eastAsia" w:ascii="仿宋_GB2312" w:hAnsi="宋体"/>
          <w:sz w:val="32"/>
          <w:szCs w:val="32"/>
          <w:lang w:val="zh-CN"/>
        </w:rPr>
        <w:t>区域性地震安全性评价》也要求收集搜集近场区地质构造资料、遥感影像，编制近场区地震构造图。《DBT 69</w:t>
      </w:r>
      <w:r>
        <w:rPr>
          <w:rFonts w:hint="eastAsia" w:ascii="仿宋_GB2312" w:hAnsi="宋体"/>
          <w:sz w:val="32"/>
          <w:szCs w:val="32"/>
          <w:lang w:val="en-US" w:eastAsia="zh-CN"/>
        </w:rPr>
        <w:t xml:space="preserve">  </w:t>
      </w:r>
      <w:r>
        <w:rPr>
          <w:rFonts w:hint="eastAsia" w:ascii="仿宋_GB2312" w:hAnsi="宋体"/>
          <w:sz w:val="32"/>
          <w:szCs w:val="32"/>
          <w:lang w:val="zh-CN"/>
        </w:rPr>
        <w:t>活动断层探察</w:t>
      </w:r>
      <w:r>
        <w:rPr>
          <w:rFonts w:hint="eastAsia" w:ascii="仿宋_GB2312" w:hAnsi="宋体"/>
          <w:sz w:val="32"/>
          <w:szCs w:val="32"/>
          <w:lang w:val="en-US" w:eastAsia="zh-CN"/>
        </w:rPr>
        <w:t xml:space="preserve"> </w:t>
      </w:r>
      <w:r>
        <w:rPr>
          <w:rFonts w:hint="eastAsia" w:ascii="仿宋_GB2312" w:hAnsi="宋体"/>
          <w:sz w:val="32"/>
          <w:szCs w:val="32"/>
          <w:lang w:val="zh-CN"/>
        </w:rPr>
        <w:t xml:space="preserve"> 遥感调查》</w:t>
      </w:r>
      <w:r>
        <w:rPr>
          <w:rFonts w:hint="eastAsia" w:ascii="仿宋_GB2312" w:hAnsi="宋体"/>
          <w:sz w:val="32"/>
          <w:szCs w:val="32"/>
          <w:lang w:val="en-US" w:eastAsia="zh-CN"/>
        </w:rPr>
        <w:t>要求</w:t>
      </w:r>
      <w:r>
        <w:rPr>
          <w:rFonts w:hint="eastAsia" w:ascii="仿宋_GB2312" w:hAnsi="宋体"/>
          <w:sz w:val="32"/>
          <w:szCs w:val="32"/>
          <w:lang w:val="zh-CN"/>
        </w:rPr>
        <w:t>收集遥感影像、地形数据及辅助资料。</w:t>
      </w:r>
    </w:p>
    <w:p w14:paraId="0C99E9A4">
      <w:pPr>
        <w:pStyle w:val="5"/>
        <w:keepNext w:val="0"/>
        <w:keepLines w:val="0"/>
        <w:widowControl/>
        <w:suppressLineNumbers w:val="0"/>
        <w:spacing w:before="0" w:beforeAutospacing="0" w:after="0" w:afterAutospacing="0"/>
        <w:ind w:left="0" w:right="0" w:firstLine="0"/>
        <w:rPr>
          <w:rFonts w:hint="default" w:ascii="仿宋_GB2312" w:hAnsi="宋体"/>
          <w:sz w:val="32"/>
          <w:szCs w:val="32"/>
          <w:lang w:val="en-US" w:eastAsia="zh-CN"/>
        </w:rPr>
      </w:pPr>
      <w:r>
        <w:rPr>
          <w:rFonts w:hint="eastAsia" w:ascii="仿宋_GB2312" w:hAnsi="宋体"/>
          <w:sz w:val="32"/>
          <w:szCs w:val="32"/>
          <w:lang w:val="zh-CN"/>
        </w:rPr>
        <w:t>场址附近</w:t>
      </w:r>
      <w:r>
        <w:rPr>
          <w:rFonts w:hint="eastAsia" w:ascii="仿宋_GB2312" w:hAnsi="宋体"/>
          <w:sz w:val="32"/>
          <w:szCs w:val="32"/>
          <w:lang w:val="en-US" w:eastAsia="zh-CN"/>
        </w:rPr>
        <w:t>范围</w:t>
      </w:r>
      <w:r>
        <w:rPr>
          <w:rFonts w:hint="eastAsia" w:ascii="仿宋_GB2312" w:hAnsi="宋体"/>
          <w:sz w:val="32"/>
          <w:szCs w:val="32"/>
          <w:lang w:val="zh-CN"/>
        </w:rPr>
        <w:t>活动断层勘查，《GB 17741</w:t>
      </w:r>
      <w:r>
        <w:rPr>
          <w:rFonts w:hint="eastAsia" w:ascii="仿宋_GB2312" w:hAnsi="宋体"/>
          <w:sz w:val="32"/>
          <w:szCs w:val="32"/>
          <w:lang w:val="en-US" w:eastAsia="zh-CN"/>
        </w:rPr>
        <w:t xml:space="preserve">  </w:t>
      </w:r>
      <w:r>
        <w:rPr>
          <w:rFonts w:hint="eastAsia" w:ascii="仿宋_GB2312" w:hAnsi="宋体"/>
          <w:sz w:val="32"/>
          <w:szCs w:val="32"/>
          <w:lang w:val="zh-CN"/>
        </w:rPr>
        <w:t>工程场地地震安全性评价》</w:t>
      </w:r>
      <w:r>
        <w:rPr>
          <w:rFonts w:hint="eastAsia" w:ascii="仿宋_GB2312" w:hAnsi="宋体"/>
          <w:sz w:val="32"/>
          <w:szCs w:val="32"/>
          <w:lang w:val="en-US" w:eastAsia="zh-CN"/>
        </w:rPr>
        <w:t>要求搜集地质构造资料、遥感影像等，编制场址附近范围地质构造图、第四纪断层解译图等。《GBT 36072  活动断层探测》要求收集数字地形图、遥感影像、地震、地貌、地质、地球物理、科学钻探、工程地质勘察、大地形变测量等方面的资料和成果。对于场地钻探工作，《</w:t>
      </w:r>
      <w:r>
        <w:rPr>
          <w:rFonts w:hint="default" w:ascii="仿宋_GB2312" w:hAnsi="宋体"/>
          <w:sz w:val="32"/>
          <w:szCs w:val="32"/>
          <w:lang w:val="en-US" w:eastAsia="zh-CN"/>
        </w:rPr>
        <w:t>DB</w:t>
      </w:r>
      <w:r>
        <w:rPr>
          <w:rFonts w:hint="eastAsia" w:ascii="仿宋_GB2312" w:hAnsi="宋体"/>
          <w:sz w:val="32"/>
          <w:szCs w:val="32"/>
          <w:lang w:val="en-US" w:eastAsia="zh-CN"/>
        </w:rPr>
        <w:t>/</w:t>
      </w:r>
      <w:r>
        <w:rPr>
          <w:rFonts w:hint="default" w:ascii="仿宋_GB2312" w:hAnsi="宋体"/>
          <w:sz w:val="32"/>
          <w:szCs w:val="32"/>
          <w:lang w:val="en-US" w:eastAsia="zh-CN"/>
        </w:rPr>
        <w:t>T</w:t>
      </w:r>
      <w:r>
        <w:rPr>
          <w:rFonts w:hint="eastAsia" w:ascii="仿宋_GB2312" w:hAnsi="宋体"/>
          <w:sz w:val="32"/>
          <w:szCs w:val="32"/>
          <w:lang w:val="en-US" w:eastAsia="zh-CN"/>
        </w:rPr>
        <w:t xml:space="preserve"> </w:t>
      </w:r>
      <w:r>
        <w:rPr>
          <w:rFonts w:hint="default" w:ascii="仿宋_GB2312" w:hAnsi="宋体"/>
          <w:sz w:val="32"/>
          <w:szCs w:val="32"/>
          <w:lang w:val="en-US" w:eastAsia="zh-CN"/>
        </w:rPr>
        <w:t>92</w:t>
      </w:r>
      <w:r>
        <w:rPr>
          <w:rFonts w:hint="eastAsia" w:ascii="仿宋_GB2312" w:hAnsi="宋体"/>
          <w:sz w:val="32"/>
          <w:szCs w:val="32"/>
          <w:lang w:val="en-US" w:eastAsia="zh-CN"/>
        </w:rPr>
        <w:t xml:space="preserve">  </w:t>
      </w:r>
      <w:r>
        <w:rPr>
          <w:rFonts w:hint="default" w:ascii="仿宋_GB2312" w:hAnsi="宋体"/>
          <w:sz w:val="32"/>
          <w:szCs w:val="32"/>
          <w:lang w:val="en-US" w:eastAsia="zh-CN"/>
        </w:rPr>
        <w:t>活动断层探查</w:t>
      </w:r>
      <w:r>
        <w:rPr>
          <w:rFonts w:hint="eastAsia" w:ascii="仿宋_GB2312" w:hAnsi="宋体"/>
          <w:sz w:val="32"/>
          <w:szCs w:val="32"/>
          <w:lang w:val="en-US" w:eastAsia="zh-CN"/>
        </w:rPr>
        <w:t xml:space="preserve">  </w:t>
      </w:r>
      <w:r>
        <w:rPr>
          <w:rFonts w:hint="default" w:ascii="仿宋_GB2312" w:hAnsi="宋体"/>
          <w:sz w:val="32"/>
          <w:szCs w:val="32"/>
          <w:lang w:val="en-US" w:eastAsia="zh-CN"/>
        </w:rPr>
        <w:t>钻探》</w:t>
      </w:r>
      <w:r>
        <w:rPr>
          <w:rFonts w:hint="eastAsia" w:ascii="仿宋_GB2312" w:hAnsi="宋体"/>
          <w:sz w:val="32"/>
          <w:szCs w:val="32"/>
          <w:lang w:val="en-US" w:eastAsia="zh-CN"/>
        </w:rPr>
        <w:t>中要求</w:t>
      </w:r>
      <w:r>
        <w:rPr>
          <w:rFonts w:hint="default" w:ascii="仿宋_GB2312" w:hAnsi="宋体"/>
          <w:sz w:val="32"/>
          <w:szCs w:val="32"/>
          <w:lang w:val="en-US" w:eastAsia="zh-CN"/>
        </w:rPr>
        <w:t>应收集区域地质、水文地质和工程地质资料</w:t>
      </w:r>
      <w:r>
        <w:rPr>
          <w:rFonts w:hint="eastAsia" w:ascii="仿宋_GB2312" w:hAnsi="宋体"/>
          <w:sz w:val="32"/>
          <w:szCs w:val="32"/>
          <w:lang w:val="en-US" w:eastAsia="zh-CN"/>
        </w:rPr>
        <w:t>等</w:t>
      </w:r>
      <w:r>
        <w:rPr>
          <w:rFonts w:hint="default" w:ascii="仿宋_GB2312" w:hAnsi="宋体"/>
          <w:sz w:val="32"/>
          <w:szCs w:val="32"/>
          <w:lang w:val="en-US" w:eastAsia="zh-CN"/>
        </w:rPr>
        <w:t>。</w:t>
      </w:r>
    </w:p>
    <w:p w14:paraId="12CE5DD9">
      <w:pPr>
        <w:pStyle w:val="5"/>
        <w:keepNext w:val="0"/>
        <w:keepLines w:val="0"/>
        <w:widowControl/>
        <w:suppressLineNumbers w:val="0"/>
        <w:spacing w:before="0" w:beforeAutospacing="0" w:after="0" w:afterAutospacing="0"/>
        <w:ind w:left="0" w:right="0" w:firstLine="0"/>
        <w:rPr>
          <w:rFonts w:hint="eastAsia" w:ascii="仿宋_GB2312" w:hAnsi="宋体"/>
          <w:sz w:val="32"/>
          <w:szCs w:val="32"/>
          <w:lang w:val="en-US" w:eastAsia="zh-CN"/>
        </w:rPr>
      </w:pPr>
      <w:r>
        <w:rPr>
          <w:rFonts w:hint="eastAsia" w:ascii="仿宋_GB2312" w:hAnsi="宋体"/>
          <w:sz w:val="32"/>
          <w:szCs w:val="32"/>
          <w:lang w:val="en-US" w:eastAsia="zh-CN"/>
        </w:rPr>
        <w:t>1.2现场踏勘</w:t>
      </w:r>
    </w:p>
    <w:p w14:paraId="465CA14D">
      <w:pPr>
        <w:pStyle w:val="5"/>
        <w:keepNext w:val="0"/>
        <w:keepLines w:val="0"/>
        <w:widowControl/>
        <w:suppressLineNumbers w:val="0"/>
        <w:spacing w:before="0" w:beforeAutospacing="0" w:after="0" w:afterAutospacing="0"/>
        <w:ind w:left="0" w:right="0" w:firstLine="0"/>
        <w:rPr>
          <w:rFonts w:hint="default" w:ascii="仿宋_GB2312" w:hAnsi="宋体"/>
          <w:sz w:val="32"/>
          <w:szCs w:val="32"/>
          <w:lang w:val="en-US" w:eastAsia="zh-CN"/>
        </w:rPr>
      </w:pPr>
      <w:r>
        <w:rPr>
          <w:rFonts w:hint="default" w:ascii="仿宋_GB2312" w:hAnsi="宋体"/>
          <w:sz w:val="32"/>
          <w:szCs w:val="32"/>
          <w:lang w:val="en-US" w:eastAsia="zh-CN"/>
        </w:rPr>
        <w:t>现场踏勘是贯穿地震安全性评价各工作环节的基础性现场工作，在GB 17741中被系统归纳为工程场地地震工程地质条件勘测等章节的现场工作组成部分。踏勘的首要任务是确认场地的实际情况与收集到的资料是否相符；其次是对现场施工条件（包括交通路径、设备进出、场地地形）进行实地考察，确认是否存在施工方案的可行性和安全性问题；同时，通过现场观察，增进对项目地质环境与人文施工环境之间相互影响的理解。它是保证后续评价工作科学可靠和实施方案具有可操作性的基础环节，也是地震安全性评价质量管理的必然要求。</w:t>
      </w:r>
    </w:p>
    <w:p w14:paraId="5AFACBEB">
      <w:pPr>
        <w:pStyle w:val="5"/>
        <w:keepNext w:val="0"/>
        <w:keepLines w:val="0"/>
        <w:widowControl/>
        <w:suppressLineNumbers w:val="0"/>
        <w:spacing w:before="0" w:beforeAutospacing="0" w:after="0" w:afterAutospacing="0"/>
        <w:ind w:left="0" w:right="0" w:firstLine="0"/>
        <w:rPr>
          <w:rFonts w:hint="default" w:ascii="仿宋_GB2312" w:hAnsi="宋体"/>
          <w:sz w:val="32"/>
          <w:szCs w:val="32"/>
          <w:lang w:val="en-US" w:eastAsia="zh-CN"/>
        </w:rPr>
      </w:pPr>
      <w:r>
        <w:rPr>
          <w:rFonts w:hint="eastAsia" w:ascii="仿宋_GB2312" w:hAnsi="宋体"/>
          <w:sz w:val="32"/>
          <w:szCs w:val="32"/>
          <w:lang w:val="en-US" w:eastAsia="zh-CN"/>
        </w:rPr>
        <w:t>1.3实施方案编制</w:t>
      </w:r>
    </w:p>
    <w:p w14:paraId="0F3EF58E">
      <w:pPr>
        <w:pStyle w:val="5"/>
        <w:keepNext w:val="0"/>
        <w:keepLines w:val="0"/>
        <w:widowControl/>
        <w:suppressLineNumbers w:val="0"/>
        <w:spacing w:before="0" w:beforeAutospacing="0" w:after="0" w:afterAutospacing="0"/>
        <w:ind w:left="0" w:right="0" w:firstLine="0"/>
        <w:rPr>
          <w:rFonts w:hint="default" w:ascii="仿宋_GB2312" w:hAnsi="宋体"/>
          <w:sz w:val="32"/>
          <w:szCs w:val="32"/>
          <w:lang w:val="en-US" w:eastAsia="zh-CN"/>
        </w:rPr>
      </w:pPr>
      <w:r>
        <w:rPr>
          <w:rFonts w:hint="default" w:ascii="仿宋_GB2312" w:hAnsi="宋体"/>
          <w:sz w:val="32"/>
          <w:szCs w:val="32"/>
          <w:lang w:val="en-US" w:eastAsia="zh-CN"/>
        </w:rPr>
        <w:t>实施方案的编制是确保评价工作科学有序开展的关键环节，必须在资料收集与现场踏勘的基础上完成</w:t>
      </w:r>
      <w:r>
        <w:rPr>
          <w:rFonts w:hint="eastAsia" w:ascii="仿宋_GB2312" w:hAnsi="宋体"/>
          <w:sz w:val="32"/>
          <w:szCs w:val="32"/>
          <w:lang w:val="en-US" w:eastAsia="zh-CN"/>
        </w:rPr>
        <w:t>。工程概况和工作目标用于确定评价等级，是所有技术指标设定的前提；而已有资料分析避免重复和遗漏；地质调查路线、物探方案、钻探方案、样品采集方案，分别对应断层鉴定、隐伏断层探测、场地波速与土层结构获取、土动力学参数与测年数据采集等核心工作；工作分组和进度安排满足专业资质配置和工期管理要求；成果产出则是确保最终评价报告符国家相关规定。构成了从“目标确定”到“过程控制”再到“成果产出”的完整闭环。</w:t>
      </w:r>
    </w:p>
    <w:p w14:paraId="60F02666">
      <w:pPr>
        <w:keepNext w:val="0"/>
        <w:keepLines w:val="0"/>
        <w:pageBreakBefore w:val="0"/>
        <w:kinsoku/>
        <w:overflowPunct/>
        <w:topLinePunct w:val="0"/>
        <w:bidi w:val="0"/>
        <w:snapToGrid/>
        <w:ind w:left="0" w:firstLine="640" w:firstLineChars="200"/>
        <w:textAlignment w:val="auto"/>
        <w:rPr>
          <w:rFonts w:hint="eastAsia" w:ascii="仿宋_GB2312" w:hAnsi="宋体"/>
          <w:color w:val="auto"/>
          <w:sz w:val="32"/>
          <w:szCs w:val="32"/>
          <w:lang w:val="en-US" w:eastAsia="zh-CN"/>
        </w:rPr>
      </w:pPr>
      <w:r>
        <w:rPr>
          <w:rFonts w:hint="eastAsia" w:ascii="仿宋_GB2312" w:hAnsi="宋体"/>
          <w:color w:val="auto"/>
          <w:sz w:val="32"/>
          <w:szCs w:val="32"/>
          <w:lang w:val="zh-CN"/>
        </w:rPr>
        <w:t>（</w:t>
      </w:r>
      <w:r>
        <w:rPr>
          <w:rFonts w:hint="eastAsia" w:ascii="仿宋_GB2312" w:hAnsi="宋体"/>
          <w:color w:val="auto"/>
          <w:sz w:val="32"/>
          <w:szCs w:val="32"/>
          <w:lang w:val="en-US" w:eastAsia="zh-CN"/>
        </w:rPr>
        <w:t>二）近场区断层活动性调查</w:t>
      </w:r>
    </w:p>
    <w:p w14:paraId="2A8ACE71">
      <w:pPr>
        <w:keepNext w:val="0"/>
        <w:keepLines w:val="0"/>
        <w:pageBreakBefore w:val="0"/>
        <w:kinsoku/>
        <w:overflowPunct/>
        <w:topLinePunct w:val="0"/>
        <w:bidi w:val="0"/>
        <w:snapToGrid/>
        <w:ind w:left="0" w:firstLine="640" w:firstLineChars="200"/>
        <w:textAlignment w:val="auto"/>
        <w:rPr>
          <w:rFonts w:hint="eastAsia" w:ascii="仿宋_GB2312" w:hAnsi="宋体"/>
          <w:sz w:val="32"/>
          <w:szCs w:val="32"/>
          <w:lang w:val="en-US" w:eastAsia="zh-CN"/>
        </w:rPr>
      </w:pPr>
      <w:r>
        <w:rPr>
          <w:rFonts w:hint="eastAsia" w:ascii="仿宋_GB2312" w:hAnsi="宋体"/>
          <w:sz w:val="32"/>
          <w:szCs w:val="32"/>
          <w:lang w:val="en-US" w:eastAsia="zh-CN"/>
        </w:rPr>
        <w:t>2.1近场区范围</w:t>
      </w:r>
    </w:p>
    <w:p w14:paraId="7793D7D9">
      <w:pPr>
        <w:keepNext w:val="0"/>
        <w:keepLines w:val="0"/>
        <w:pageBreakBefore w:val="0"/>
        <w:kinsoku/>
        <w:overflowPunct/>
        <w:topLinePunct w:val="0"/>
        <w:bidi w:val="0"/>
        <w:snapToGrid/>
        <w:ind w:left="0" w:firstLine="640" w:firstLineChars="200"/>
        <w:textAlignment w:val="auto"/>
        <w:rPr>
          <w:rFonts w:hint="eastAsia" w:ascii="仿宋_GB2312" w:hAnsi="宋体"/>
          <w:sz w:val="32"/>
          <w:szCs w:val="32"/>
          <w:lang w:val="en-US" w:eastAsia="zh-CN"/>
        </w:rPr>
      </w:pPr>
      <w:r>
        <w:rPr>
          <w:rFonts w:hint="eastAsia" w:ascii="仿宋_GB2312" w:hAnsi="宋体"/>
          <w:sz w:val="32"/>
          <w:szCs w:val="32"/>
          <w:lang w:val="en-US" w:eastAsia="zh-CN"/>
        </w:rPr>
        <w:t>根据《GB 17741  工程场地地震安全性评价》6.1.1和《DB/T 100  区域性地震安全性评价》6.1，工程场地地震安全性评价近场区范围应不小于工程场地外延25km，区域性地震安全性评价近场区范围应不小于目标区边界外延25km。</w:t>
      </w:r>
    </w:p>
    <w:p w14:paraId="1D4B5E5A">
      <w:pPr>
        <w:keepNext w:val="0"/>
        <w:keepLines w:val="0"/>
        <w:pageBreakBefore w:val="0"/>
        <w:kinsoku/>
        <w:overflowPunct/>
        <w:topLinePunct w:val="0"/>
        <w:bidi w:val="0"/>
        <w:snapToGrid/>
        <w:ind w:left="0" w:firstLine="640" w:firstLineChars="200"/>
        <w:textAlignment w:val="auto"/>
        <w:rPr>
          <w:rFonts w:hint="default" w:ascii="仿宋_GB2312" w:hAnsi="宋体"/>
          <w:sz w:val="32"/>
          <w:szCs w:val="32"/>
          <w:lang w:val="en-US" w:eastAsia="zh-CN"/>
        </w:rPr>
      </w:pPr>
      <w:r>
        <w:rPr>
          <w:rFonts w:hint="eastAsia" w:ascii="仿宋_GB2312" w:hAnsi="宋体"/>
          <w:sz w:val="32"/>
          <w:szCs w:val="32"/>
          <w:lang w:val="en-US" w:eastAsia="zh-CN"/>
        </w:rPr>
        <w:t>2.2</w:t>
      </w:r>
      <w:r>
        <w:rPr>
          <w:rFonts w:hint="default" w:ascii="仿宋_GB2312" w:hAnsi="宋体"/>
          <w:sz w:val="32"/>
          <w:szCs w:val="32"/>
          <w:lang w:val="en-US" w:eastAsia="zh-CN"/>
        </w:rPr>
        <w:t>现场调查要求</w:t>
      </w:r>
    </w:p>
    <w:p w14:paraId="4DBE2A7B">
      <w:pPr>
        <w:keepNext w:val="0"/>
        <w:keepLines w:val="0"/>
        <w:pageBreakBefore w:val="0"/>
        <w:kinsoku/>
        <w:overflowPunct/>
        <w:topLinePunct w:val="0"/>
        <w:bidi w:val="0"/>
        <w:snapToGrid/>
        <w:ind w:left="0" w:firstLine="640" w:firstLineChars="200"/>
        <w:textAlignment w:val="auto"/>
        <w:rPr>
          <w:rFonts w:hint="default" w:ascii="仿宋_GB2312" w:hAnsi="宋体"/>
          <w:sz w:val="32"/>
          <w:szCs w:val="32"/>
          <w:lang w:val="en-US" w:eastAsia="zh-CN"/>
        </w:rPr>
      </w:pPr>
      <w:r>
        <w:rPr>
          <w:rFonts w:hint="default" w:ascii="仿宋_GB2312" w:hAnsi="宋体"/>
          <w:sz w:val="32"/>
          <w:szCs w:val="32"/>
          <w:lang w:val="en-US" w:eastAsia="zh-CN"/>
        </w:rPr>
        <w:t>近场区主要断层活动性鉴定现场工作</w:t>
      </w:r>
      <w:r>
        <w:rPr>
          <w:rFonts w:hint="eastAsia" w:ascii="仿宋_GB2312" w:hAnsi="宋体"/>
          <w:sz w:val="32"/>
          <w:szCs w:val="32"/>
          <w:lang w:val="en-US" w:eastAsia="zh-CN"/>
        </w:rPr>
        <w:t>，主要涉及遥感影像解译、基岩出露区调查、覆盖区隐伏断层勘查、活动褶皱调查、资料可靠性论证等方面的内容，主要参考《GB 17741-2025  工程场地地震安全性评价》的内容。</w:t>
      </w:r>
    </w:p>
    <w:tbl>
      <w:tblPr>
        <w:tblStyle w:val="7"/>
        <w:tblW w:w="9174" w:type="dxa"/>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4587"/>
        <w:gridCol w:w="4587"/>
      </w:tblGrid>
      <w:tr w14:paraId="0A082A3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174" w:type="dxa"/>
            <w:gridSpan w:val="2"/>
            <w:vAlign w:val="center"/>
          </w:tcPr>
          <w:p w14:paraId="6DE5BFFA">
            <w:pPr>
              <w:keepNext w:val="0"/>
              <w:keepLines w:val="0"/>
              <w:pageBreakBefore w:val="0"/>
              <w:kinsoku/>
              <w:overflowPunct/>
              <w:topLinePunct w:val="0"/>
              <w:bidi w:val="0"/>
              <w:snapToGrid/>
              <w:ind w:left="0" w:leftChars="0" w:firstLine="0" w:firstLineChars="0"/>
              <w:jc w:val="center"/>
              <w:textAlignment w:val="auto"/>
              <w:rPr>
                <w:rFonts w:hint="default" w:ascii="仿宋_GB2312" w:hAnsi="宋体"/>
                <w:spacing w:val="0"/>
                <w:w w:val="100"/>
                <w:sz w:val="32"/>
                <w:szCs w:val="32"/>
                <w:vertAlign w:val="baseline"/>
                <w:lang w:val="en-US" w:eastAsia="zh-CN"/>
              </w:rPr>
            </w:pPr>
            <w:r>
              <w:rPr>
                <w:spacing w:val="0"/>
                <w:w w:val="100"/>
              </w:rPr>
              <w:drawing>
                <wp:inline distT="0" distB="0" distL="114300" distR="114300">
                  <wp:extent cx="4319905" cy="1465580"/>
                  <wp:effectExtent l="9525" t="9525" r="13970" b="1079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7"/>
                          <a:stretch>
                            <a:fillRect/>
                          </a:stretch>
                        </pic:blipFill>
                        <pic:spPr>
                          <a:xfrm>
                            <a:off x="0" y="0"/>
                            <a:ext cx="4319905" cy="1465580"/>
                          </a:xfrm>
                          <a:prstGeom prst="rect">
                            <a:avLst/>
                          </a:prstGeom>
                          <a:noFill/>
                          <a:ln>
                            <a:solidFill>
                              <a:schemeClr val="tx1"/>
                            </a:solidFill>
                          </a:ln>
                        </pic:spPr>
                      </pic:pic>
                    </a:graphicData>
                  </a:graphic>
                </wp:inline>
              </w:drawing>
            </w:r>
          </w:p>
        </w:tc>
      </w:tr>
      <w:tr w14:paraId="72A79CF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174" w:type="dxa"/>
            <w:gridSpan w:val="2"/>
            <w:vAlign w:val="center"/>
          </w:tcPr>
          <w:p w14:paraId="48CCF645">
            <w:pPr>
              <w:pStyle w:val="5"/>
              <w:keepNext w:val="0"/>
              <w:keepLines w:val="0"/>
              <w:widowControl/>
              <w:suppressLineNumbers w:val="0"/>
              <w:spacing w:before="0" w:beforeAutospacing="0" w:after="0" w:afterAutospacing="0"/>
              <w:ind w:left="0" w:leftChars="0" w:right="0" w:firstLine="0" w:firstLineChars="0"/>
              <w:jc w:val="center"/>
              <w:rPr>
                <w:rFonts w:hint="default" w:ascii="仿宋_GB2312" w:hAnsi="宋体"/>
                <w:spacing w:val="0"/>
                <w:w w:val="100"/>
                <w:sz w:val="32"/>
                <w:szCs w:val="32"/>
                <w:vertAlign w:val="baseline"/>
                <w:lang w:val="en-US" w:eastAsia="zh-CN"/>
              </w:rPr>
            </w:pPr>
            <w:r>
              <w:rPr>
                <w:rFonts w:hint="eastAsia" w:ascii="仿宋_GB2312" w:hAnsi="宋体"/>
                <w:spacing w:val="0"/>
                <w:w w:val="100"/>
                <w:sz w:val="24"/>
                <w:szCs w:val="24"/>
                <w:vertAlign w:val="baseline"/>
                <w:lang w:val="en-US" w:eastAsia="zh-CN"/>
              </w:rPr>
              <w:t>来源：GB 17741  工程场地地震安全性评价</w:t>
            </w:r>
          </w:p>
        </w:tc>
      </w:tr>
      <w:tr w14:paraId="643C9DE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587" w:type="dxa"/>
            <w:vAlign w:val="center"/>
          </w:tcPr>
          <w:p w14:paraId="0BA81D6F">
            <w:pPr>
              <w:pStyle w:val="5"/>
              <w:keepNext w:val="0"/>
              <w:keepLines w:val="0"/>
              <w:widowControl/>
              <w:suppressLineNumbers w:val="0"/>
              <w:spacing w:before="0" w:beforeAutospacing="0" w:after="0" w:afterAutospacing="0"/>
              <w:ind w:left="0" w:leftChars="0" w:right="0" w:firstLine="0" w:firstLineChars="0"/>
              <w:jc w:val="center"/>
            </w:pPr>
            <w:r>
              <w:drawing>
                <wp:inline distT="0" distB="0" distL="114300" distR="114300">
                  <wp:extent cx="1609725" cy="1188085"/>
                  <wp:effectExtent l="0" t="0" r="9525" b="12065"/>
                  <wp:docPr id="2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4"/>
                          <pic:cNvPicPr>
                            <a:picLocks noChangeAspect="1"/>
                          </pic:cNvPicPr>
                        </pic:nvPicPr>
                        <pic:blipFill>
                          <a:blip r:embed="rId8"/>
                          <a:stretch>
                            <a:fillRect/>
                          </a:stretch>
                        </pic:blipFill>
                        <pic:spPr>
                          <a:xfrm>
                            <a:off x="0" y="0"/>
                            <a:ext cx="1609725" cy="1188085"/>
                          </a:xfrm>
                          <a:prstGeom prst="rect">
                            <a:avLst/>
                          </a:prstGeom>
                          <a:noFill/>
                          <a:ln>
                            <a:noFill/>
                          </a:ln>
                        </pic:spPr>
                      </pic:pic>
                    </a:graphicData>
                  </a:graphic>
                </wp:inline>
              </w:drawing>
            </w:r>
          </w:p>
          <w:p w14:paraId="49D55F61">
            <w:pPr>
              <w:pStyle w:val="5"/>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ind w:left="0" w:leftChars="0" w:right="0" w:firstLine="0" w:firstLineChars="0"/>
              <w:jc w:val="center"/>
              <w:textAlignment w:val="auto"/>
              <w:rPr>
                <w:rFonts w:hint="eastAsia" w:ascii="仿宋_GB2312" w:hAnsi="宋体"/>
                <w:spacing w:val="0"/>
                <w:w w:val="100"/>
                <w:sz w:val="24"/>
                <w:szCs w:val="24"/>
                <w:vertAlign w:val="baseline"/>
                <w:lang w:val="en-US" w:eastAsia="zh-CN"/>
              </w:rPr>
            </w:pPr>
            <w:r>
              <w:rPr>
                <w:rFonts w:hint="eastAsia"/>
                <w:sz w:val="21"/>
                <w:szCs w:val="21"/>
              </w:rPr>
              <w:t>目标区全新统典型照片</w:t>
            </w:r>
          </w:p>
        </w:tc>
        <w:tc>
          <w:tcPr>
            <w:tcW w:w="4587" w:type="dxa"/>
            <w:vAlign w:val="center"/>
          </w:tcPr>
          <w:p w14:paraId="5ABE53A7">
            <w:pPr>
              <w:pStyle w:val="5"/>
              <w:keepNext w:val="0"/>
              <w:keepLines w:val="0"/>
              <w:widowControl/>
              <w:suppressLineNumbers w:val="0"/>
              <w:spacing w:before="0" w:beforeAutospacing="0" w:after="0" w:afterAutospacing="0"/>
              <w:ind w:left="0" w:leftChars="0" w:right="0" w:firstLine="0" w:firstLineChars="0"/>
              <w:jc w:val="center"/>
            </w:pPr>
            <w:r>
              <w:drawing>
                <wp:inline distT="0" distB="0" distL="114300" distR="114300">
                  <wp:extent cx="1778635" cy="1188085"/>
                  <wp:effectExtent l="0" t="0" r="12065" b="12065"/>
                  <wp:docPr id="2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5"/>
                          <pic:cNvPicPr>
                            <a:picLocks noChangeAspect="1"/>
                          </pic:cNvPicPr>
                        </pic:nvPicPr>
                        <pic:blipFill>
                          <a:blip r:embed="rId9"/>
                          <a:stretch>
                            <a:fillRect/>
                          </a:stretch>
                        </pic:blipFill>
                        <pic:spPr>
                          <a:xfrm>
                            <a:off x="0" y="0"/>
                            <a:ext cx="1778635" cy="1188085"/>
                          </a:xfrm>
                          <a:prstGeom prst="rect">
                            <a:avLst/>
                          </a:prstGeom>
                          <a:noFill/>
                          <a:ln>
                            <a:noFill/>
                          </a:ln>
                        </pic:spPr>
                      </pic:pic>
                    </a:graphicData>
                  </a:graphic>
                </wp:inline>
              </w:drawing>
            </w:r>
          </w:p>
          <w:p w14:paraId="2781FEB7">
            <w:pPr>
              <w:pStyle w:val="5"/>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ind w:left="0" w:leftChars="0" w:right="0" w:firstLine="0" w:firstLineChars="0"/>
              <w:jc w:val="center"/>
              <w:textAlignment w:val="auto"/>
              <w:rPr>
                <w:rFonts w:hint="eastAsia"/>
                <w:lang w:val="en-US" w:eastAsia="zh-CN"/>
              </w:rPr>
            </w:pPr>
            <w:r>
              <w:rPr>
                <w:rFonts w:hint="eastAsia"/>
                <w:sz w:val="21"/>
                <w:szCs w:val="21"/>
                <w:lang w:val="en-US" w:eastAsia="zh-CN"/>
              </w:rPr>
              <w:t>目标区二叠系砂岩典型照片</w:t>
            </w:r>
          </w:p>
        </w:tc>
      </w:tr>
      <w:tr w14:paraId="4E1AA86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587" w:type="dxa"/>
            <w:vAlign w:val="center"/>
          </w:tcPr>
          <w:p w14:paraId="21456B7E">
            <w:pPr>
              <w:pStyle w:val="5"/>
              <w:keepNext w:val="0"/>
              <w:keepLines w:val="0"/>
              <w:widowControl/>
              <w:suppressLineNumbers w:val="0"/>
              <w:spacing w:before="0" w:beforeAutospacing="0" w:after="0" w:afterAutospacing="0"/>
              <w:ind w:left="0" w:leftChars="0" w:right="0" w:firstLine="0" w:firstLineChars="0"/>
              <w:jc w:val="center"/>
            </w:pPr>
            <w:r>
              <w:drawing>
                <wp:inline distT="0" distB="0" distL="114300" distR="114300">
                  <wp:extent cx="1587500" cy="1188085"/>
                  <wp:effectExtent l="0" t="0" r="12700" b="12065"/>
                  <wp:docPr id="24"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6"/>
                          <pic:cNvPicPr>
                            <a:picLocks noChangeAspect="1"/>
                          </pic:cNvPicPr>
                        </pic:nvPicPr>
                        <pic:blipFill>
                          <a:blip r:embed="rId10"/>
                          <a:stretch>
                            <a:fillRect/>
                          </a:stretch>
                        </pic:blipFill>
                        <pic:spPr>
                          <a:xfrm>
                            <a:off x="0" y="0"/>
                            <a:ext cx="1587500" cy="1188085"/>
                          </a:xfrm>
                          <a:prstGeom prst="rect">
                            <a:avLst/>
                          </a:prstGeom>
                          <a:noFill/>
                          <a:ln>
                            <a:noFill/>
                          </a:ln>
                        </pic:spPr>
                      </pic:pic>
                    </a:graphicData>
                  </a:graphic>
                </wp:inline>
              </w:drawing>
            </w:r>
          </w:p>
          <w:p w14:paraId="0A5ABB38">
            <w:pPr>
              <w:pStyle w:val="5"/>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ind w:left="0" w:leftChars="0" w:right="0" w:firstLine="0" w:firstLineChars="0"/>
              <w:jc w:val="center"/>
              <w:textAlignment w:val="auto"/>
              <w:rPr>
                <w:rFonts w:hint="eastAsia"/>
                <w:lang w:val="en-US" w:eastAsia="zh-CN"/>
              </w:rPr>
            </w:pPr>
            <w:r>
              <w:rPr>
                <w:rFonts w:hint="eastAsia"/>
                <w:sz w:val="21"/>
                <w:szCs w:val="21"/>
                <w:lang w:val="en-US" w:eastAsia="zh-CN"/>
              </w:rPr>
              <w:t>目标区三叠系硅质岩典型照片</w:t>
            </w:r>
          </w:p>
        </w:tc>
        <w:tc>
          <w:tcPr>
            <w:tcW w:w="4587" w:type="dxa"/>
            <w:vAlign w:val="center"/>
          </w:tcPr>
          <w:p w14:paraId="78BD92FD">
            <w:pPr>
              <w:pStyle w:val="5"/>
              <w:keepNext w:val="0"/>
              <w:keepLines w:val="0"/>
              <w:widowControl/>
              <w:suppressLineNumbers w:val="0"/>
              <w:spacing w:before="0" w:beforeAutospacing="0" w:after="0" w:afterAutospacing="0"/>
              <w:ind w:left="0" w:leftChars="0" w:right="0" w:firstLine="0" w:firstLineChars="0"/>
              <w:jc w:val="center"/>
            </w:pPr>
            <w:r>
              <w:drawing>
                <wp:inline distT="0" distB="0" distL="114300" distR="114300">
                  <wp:extent cx="1776730" cy="1188085"/>
                  <wp:effectExtent l="0" t="0" r="13970" b="12065"/>
                  <wp:docPr id="2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7"/>
                          <pic:cNvPicPr>
                            <a:picLocks noChangeAspect="1"/>
                          </pic:cNvPicPr>
                        </pic:nvPicPr>
                        <pic:blipFill>
                          <a:blip r:embed="rId11"/>
                          <a:stretch>
                            <a:fillRect/>
                          </a:stretch>
                        </pic:blipFill>
                        <pic:spPr>
                          <a:xfrm>
                            <a:off x="0" y="0"/>
                            <a:ext cx="1776730" cy="1188085"/>
                          </a:xfrm>
                          <a:prstGeom prst="rect">
                            <a:avLst/>
                          </a:prstGeom>
                          <a:noFill/>
                          <a:ln>
                            <a:noFill/>
                          </a:ln>
                        </pic:spPr>
                      </pic:pic>
                    </a:graphicData>
                  </a:graphic>
                </wp:inline>
              </w:drawing>
            </w:r>
          </w:p>
          <w:p w14:paraId="23C58E5C">
            <w:pPr>
              <w:pStyle w:val="5"/>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ind w:left="0" w:leftChars="0" w:right="0" w:firstLine="0" w:firstLineChars="0"/>
              <w:jc w:val="center"/>
              <w:textAlignment w:val="auto"/>
              <w:rPr>
                <w:rFonts w:hint="eastAsia"/>
                <w:lang w:val="en-US" w:eastAsia="zh-CN"/>
              </w:rPr>
            </w:pPr>
            <w:r>
              <w:rPr>
                <w:rFonts w:hint="eastAsia"/>
                <w:sz w:val="21"/>
                <w:szCs w:val="21"/>
                <w:lang w:val="en-US" w:eastAsia="zh-CN"/>
              </w:rPr>
              <w:t>目标区石炭系灰岩典型照片</w:t>
            </w:r>
          </w:p>
        </w:tc>
      </w:tr>
      <w:tr w14:paraId="26849DB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174" w:type="dxa"/>
            <w:gridSpan w:val="2"/>
            <w:vAlign w:val="center"/>
          </w:tcPr>
          <w:p w14:paraId="5C626EC9">
            <w:pPr>
              <w:keepNext w:val="0"/>
              <w:keepLines w:val="0"/>
              <w:widowControl/>
              <w:suppressLineNumbers w:val="0"/>
              <w:ind w:left="0" w:leftChars="0" w:firstLine="0" w:firstLineChars="0"/>
              <w:jc w:val="center"/>
              <w:rPr>
                <w:rFonts w:hint="eastAsia" w:ascii="Times New Roman" w:hAnsi="Times New Roman" w:eastAsia="仿宋_GB2312" w:cs="Times New Roman"/>
                <w:kern w:val="0"/>
                <w:sz w:val="24"/>
                <w:szCs w:val="24"/>
                <w:lang w:val="en-US" w:eastAsia="zh-CN" w:bidi="ar-SA"/>
              </w:rPr>
            </w:pPr>
            <w:r>
              <w:rPr>
                <w:rFonts w:hint="eastAsia" w:cs="Times New Roman"/>
                <w:kern w:val="0"/>
                <w:sz w:val="24"/>
                <w:szCs w:val="24"/>
                <w:lang w:val="en-US" w:eastAsia="zh-CN" w:bidi="ar-SA"/>
              </w:rPr>
              <w:t xml:space="preserve">图1 </w:t>
            </w:r>
            <w:r>
              <w:rPr>
                <w:rFonts w:hint="eastAsia" w:ascii="Times New Roman" w:hAnsi="Times New Roman" w:eastAsia="仿宋_GB2312" w:cs="Times New Roman"/>
                <w:kern w:val="0"/>
                <w:sz w:val="24"/>
                <w:szCs w:val="24"/>
                <w:lang w:val="en-US" w:eastAsia="zh-CN" w:bidi="ar-SA"/>
              </w:rPr>
              <w:t>区域性地震安全性评价目标区范围内的地层</w:t>
            </w:r>
          </w:p>
        </w:tc>
      </w:tr>
      <w:tr w14:paraId="72EF817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174" w:type="dxa"/>
            <w:gridSpan w:val="2"/>
            <w:vAlign w:val="center"/>
          </w:tcPr>
          <w:p w14:paraId="34D92B83">
            <w:pPr>
              <w:pStyle w:val="5"/>
              <w:keepNext w:val="0"/>
              <w:keepLines w:val="0"/>
              <w:widowControl/>
              <w:suppressLineNumbers w:val="0"/>
              <w:spacing w:before="0" w:beforeAutospacing="0" w:after="0" w:afterAutospacing="0"/>
              <w:ind w:left="0" w:leftChars="0" w:right="0" w:firstLine="0" w:firstLineChars="0"/>
              <w:jc w:val="center"/>
              <w:rPr>
                <w:rFonts w:hint="eastAsia" w:ascii="仿宋_GB2312" w:hAnsi="宋体"/>
                <w:spacing w:val="0"/>
                <w:w w:val="100"/>
                <w:sz w:val="24"/>
                <w:szCs w:val="24"/>
                <w:vertAlign w:val="baseline"/>
                <w:lang w:val="en-US" w:eastAsia="zh-CN"/>
              </w:rPr>
            </w:pPr>
            <w:r>
              <w:drawing>
                <wp:inline distT="0" distB="0" distL="114300" distR="114300">
                  <wp:extent cx="2879725" cy="2419350"/>
                  <wp:effectExtent l="0" t="0" r="15875" b="0"/>
                  <wp:docPr id="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2"/>
                          <pic:cNvPicPr>
                            <a:picLocks noChangeAspect="1"/>
                          </pic:cNvPicPr>
                        </pic:nvPicPr>
                        <pic:blipFill>
                          <a:blip r:embed="rId12"/>
                          <a:stretch>
                            <a:fillRect/>
                          </a:stretch>
                        </pic:blipFill>
                        <pic:spPr>
                          <a:xfrm>
                            <a:off x="0" y="0"/>
                            <a:ext cx="2879725" cy="2419350"/>
                          </a:xfrm>
                          <a:prstGeom prst="rect">
                            <a:avLst/>
                          </a:prstGeom>
                          <a:noFill/>
                          <a:ln>
                            <a:noFill/>
                          </a:ln>
                        </pic:spPr>
                      </pic:pic>
                    </a:graphicData>
                  </a:graphic>
                </wp:inline>
              </w:drawing>
            </w:r>
          </w:p>
        </w:tc>
      </w:tr>
      <w:tr w14:paraId="419ADEF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174" w:type="dxa"/>
            <w:gridSpan w:val="2"/>
            <w:vAlign w:val="center"/>
          </w:tcPr>
          <w:p w14:paraId="370CEF36">
            <w:pPr>
              <w:keepNext w:val="0"/>
              <w:keepLines w:val="0"/>
              <w:widowControl/>
              <w:suppressLineNumbers w:val="0"/>
              <w:ind w:left="0" w:leftChars="0" w:firstLine="0" w:firstLineChars="0"/>
              <w:jc w:val="center"/>
              <w:rPr>
                <w:rFonts w:hint="eastAsia" w:ascii="楷体_GB2312" w:hAnsi="楷体_GB2312" w:eastAsia="楷体_GB2312" w:cs="楷体_GB2312"/>
                <w:color w:val="000000"/>
                <w:kern w:val="0"/>
                <w:sz w:val="24"/>
                <w:szCs w:val="24"/>
                <w:lang w:val="en-US" w:eastAsia="zh-CN" w:bidi="ar"/>
              </w:rPr>
            </w:pPr>
            <w:r>
              <w:rPr>
                <w:rFonts w:hint="eastAsia" w:ascii="楷体_GB2312" w:hAnsi="楷体_GB2312" w:eastAsia="楷体_GB2312" w:cs="楷体_GB2312"/>
                <w:color w:val="000000"/>
                <w:kern w:val="0"/>
                <w:sz w:val="24"/>
                <w:szCs w:val="24"/>
                <w:lang w:val="en-US" w:eastAsia="zh-CN" w:bidi="ar"/>
              </w:rPr>
              <w:t>图2 区域高分辨率遥感解译图（2023年，分辨率12.5m）</w:t>
            </w:r>
          </w:p>
          <w:p w14:paraId="6C4BE2FB">
            <w:pPr>
              <w:keepNext w:val="0"/>
              <w:keepLines w:val="0"/>
              <w:widowControl/>
              <w:suppressLineNumbers w:val="0"/>
              <w:ind w:left="0" w:leftChars="0" w:firstLine="0" w:firstLineChars="0"/>
              <w:jc w:val="center"/>
              <w:rPr>
                <w:rFonts w:hint="default" w:ascii="楷体_GB2312" w:hAnsi="楷体_GB2312" w:eastAsia="楷体_GB2312" w:cs="楷体_GB2312"/>
                <w:color w:val="000000"/>
                <w:kern w:val="0"/>
                <w:sz w:val="24"/>
                <w:szCs w:val="24"/>
                <w:lang w:val="en-US" w:eastAsia="zh-CN" w:bidi="ar"/>
              </w:rPr>
            </w:pPr>
            <w:r>
              <w:rPr>
                <w:rFonts w:hint="eastAsia" w:ascii="楷体_GB2312" w:hAnsi="楷体_GB2312" w:eastAsia="楷体_GB2312" w:cs="楷体_GB2312"/>
                <w:color w:val="000000"/>
                <w:kern w:val="0"/>
                <w:sz w:val="24"/>
                <w:szCs w:val="24"/>
                <w:lang w:val="en-US" w:eastAsia="zh-CN" w:bidi="ar"/>
              </w:rPr>
              <w:t>（</w:t>
            </w:r>
            <w:r>
              <w:rPr>
                <w:rFonts w:hint="default" w:ascii="楷体_GB2312" w:hAnsi="楷体_GB2312" w:eastAsia="楷体_GB2312" w:cs="楷体_GB2312"/>
                <w:color w:val="000000"/>
                <w:kern w:val="0"/>
                <w:sz w:val="24"/>
                <w:szCs w:val="24"/>
                <w:lang w:val="en-US" w:eastAsia="zh-CN" w:bidi="ar"/>
              </w:rPr>
              <w:t>红色方框为目标区，红色线为断裂)</w:t>
            </w:r>
          </w:p>
        </w:tc>
      </w:tr>
    </w:tbl>
    <w:p w14:paraId="670B2B25">
      <w:pPr>
        <w:keepNext w:val="0"/>
        <w:keepLines w:val="0"/>
        <w:pageBreakBefore w:val="0"/>
        <w:numPr>
          <w:ilvl w:val="0"/>
          <w:numId w:val="0"/>
        </w:numPr>
        <w:kinsoku/>
        <w:overflowPunct/>
        <w:topLinePunct w:val="0"/>
        <w:bidi w:val="0"/>
        <w:snapToGrid/>
        <w:ind w:left="0" w:leftChars="0" w:firstLine="640" w:firstLineChars="200"/>
        <w:textAlignment w:val="auto"/>
        <w:rPr>
          <w:rFonts w:hint="eastAsia" w:ascii="仿宋_GB2312" w:hAnsi="宋体" w:eastAsia="仿宋_GB2312" w:cs="Times New Roman"/>
          <w:color w:val="auto"/>
          <w:kern w:val="2"/>
          <w:sz w:val="32"/>
          <w:szCs w:val="32"/>
          <w:lang w:val="en-US" w:eastAsia="zh-CN" w:bidi="ar-SA"/>
        </w:rPr>
      </w:pPr>
      <w:r>
        <w:rPr>
          <w:rFonts w:hint="eastAsia" w:ascii="仿宋_GB2312" w:hAnsi="宋体" w:eastAsia="仿宋_GB2312" w:cs="Times New Roman"/>
          <w:color w:val="auto"/>
          <w:kern w:val="2"/>
          <w:sz w:val="32"/>
          <w:szCs w:val="32"/>
          <w:lang w:val="en-US" w:eastAsia="zh-CN" w:bidi="ar-SA"/>
        </w:rPr>
        <w:t>有效观测点是指能够明确反映断层活动时代的地质地貌观察点、钻孔联合地质剖面及浅层地震勘探剖面。例如，能够明确观察到被断层切割的已知形成时代的岩石、地层和覆盖于断层之上的已知地层时代的地质观测点，或能明确观察到被断层影响的已知形成时代的地貌面和未被断层活动影响的已知形成时代的地貌面观测点。有效观测点不能位于断层的分支断层上，且必须能完整观察到断层的核心带。如果地质地貌观测点、钻孔联合地质剖面和地球物理勘探剖面中，用于确定断层活动时代或活动性参数的关键地层年代不清楚，且无法通过可靠的地层年代类比确定其年代，则每个观测点或地质剖面上的有效年龄数据需不少于2个。</w:t>
      </w:r>
    </w:p>
    <w:tbl>
      <w:tblPr>
        <w:tblStyle w:val="7"/>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9174"/>
      </w:tblGrid>
      <w:tr w14:paraId="46EC710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174" w:type="dxa"/>
            <w:tcBorders>
              <w:top w:val="single" w:color="auto" w:sz="4" w:space="0"/>
              <w:left w:val="single" w:color="auto" w:sz="4" w:space="0"/>
              <w:bottom w:val="single" w:color="auto" w:sz="4" w:space="0"/>
              <w:right w:val="single" w:color="auto" w:sz="4" w:space="0"/>
            </w:tcBorders>
          </w:tcPr>
          <w:p w14:paraId="300E1297">
            <w:pPr>
              <w:keepNext w:val="0"/>
              <w:keepLines w:val="0"/>
              <w:pageBreakBefore w:val="0"/>
              <w:numPr>
                <w:ilvl w:val="0"/>
                <w:numId w:val="0"/>
              </w:numPr>
              <w:kinsoku/>
              <w:overflowPunct/>
              <w:topLinePunct w:val="0"/>
              <w:bidi w:val="0"/>
              <w:snapToGrid/>
              <w:textAlignment w:val="auto"/>
              <w:rPr>
                <w:rFonts w:hint="eastAsia" w:ascii="仿宋_GB2312" w:hAnsi="宋体" w:eastAsia="仿宋_GB2312" w:cs="Times New Roman"/>
                <w:color w:val="auto"/>
                <w:kern w:val="2"/>
                <w:sz w:val="32"/>
                <w:szCs w:val="32"/>
                <w:vertAlign w:val="baseline"/>
                <w:lang w:val="en-US" w:eastAsia="zh-CN" w:bidi="ar-SA"/>
              </w:rPr>
            </w:pPr>
            <w:r>
              <w:drawing>
                <wp:inline distT="0" distB="0" distL="114300" distR="114300">
                  <wp:extent cx="5683250" cy="1353185"/>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13"/>
                          <a:srcRect b="7709"/>
                          <a:stretch>
                            <a:fillRect/>
                          </a:stretch>
                        </pic:blipFill>
                        <pic:spPr>
                          <a:xfrm>
                            <a:off x="0" y="0"/>
                            <a:ext cx="5683250" cy="1353185"/>
                          </a:xfrm>
                          <a:prstGeom prst="rect">
                            <a:avLst/>
                          </a:prstGeom>
                          <a:noFill/>
                          <a:ln>
                            <a:noFill/>
                          </a:ln>
                        </pic:spPr>
                      </pic:pic>
                    </a:graphicData>
                  </a:graphic>
                </wp:inline>
              </w:drawing>
            </w:r>
            <w:r>
              <w:drawing>
                <wp:inline distT="0" distB="0" distL="114300" distR="114300">
                  <wp:extent cx="5687695" cy="929640"/>
                  <wp:effectExtent l="0" t="0" r="8255" b="381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14"/>
                          <a:stretch>
                            <a:fillRect/>
                          </a:stretch>
                        </pic:blipFill>
                        <pic:spPr>
                          <a:xfrm>
                            <a:off x="0" y="0"/>
                            <a:ext cx="5687695" cy="929640"/>
                          </a:xfrm>
                          <a:prstGeom prst="rect">
                            <a:avLst/>
                          </a:prstGeom>
                          <a:noFill/>
                          <a:ln>
                            <a:noFill/>
                          </a:ln>
                        </pic:spPr>
                      </pic:pic>
                    </a:graphicData>
                  </a:graphic>
                </wp:inline>
              </w:drawing>
            </w:r>
          </w:p>
        </w:tc>
      </w:tr>
      <w:tr w14:paraId="00C57AD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9174" w:type="dxa"/>
            <w:tcBorders>
              <w:top w:val="single" w:color="auto" w:sz="4" w:space="0"/>
              <w:left w:val="nil"/>
              <w:bottom w:val="nil"/>
              <w:right w:val="nil"/>
            </w:tcBorders>
          </w:tcPr>
          <w:p w14:paraId="70E45310">
            <w:pPr>
              <w:pStyle w:val="5"/>
              <w:keepNext w:val="0"/>
              <w:keepLines w:val="0"/>
              <w:widowControl/>
              <w:suppressLineNumbers w:val="0"/>
              <w:spacing w:before="0" w:beforeAutospacing="0" w:after="0" w:afterAutospacing="0"/>
              <w:ind w:left="0" w:leftChars="0" w:right="0" w:firstLine="0" w:firstLineChars="0"/>
              <w:jc w:val="center"/>
              <w:rPr>
                <w:rFonts w:hint="eastAsia" w:ascii="仿宋_GB2312" w:hAnsi="宋体" w:eastAsia="仿宋_GB2312" w:cs="Times New Roman"/>
                <w:color w:val="auto"/>
                <w:kern w:val="2"/>
                <w:sz w:val="32"/>
                <w:szCs w:val="32"/>
                <w:vertAlign w:val="baseline"/>
                <w:lang w:val="en-US" w:eastAsia="zh-CN" w:bidi="ar-SA"/>
              </w:rPr>
            </w:pPr>
            <w:r>
              <w:rPr>
                <w:rFonts w:hint="eastAsia"/>
                <w:lang w:val="en-US" w:eastAsia="zh-CN"/>
              </w:rPr>
              <w:t>来源：《</w:t>
            </w:r>
            <w:r>
              <w:t>工程场地地震安全性评价》宣贯教材</w:t>
            </w:r>
          </w:p>
        </w:tc>
      </w:tr>
    </w:tbl>
    <w:p w14:paraId="63ECA1D4">
      <w:pPr>
        <w:keepNext w:val="0"/>
        <w:keepLines w:val="0"/>
        <w:pageBreakBefore w:val="0"/>
        <w:numPr>
          <w:ilvl w:val="0"/>
          <w:numId w:val="0"/>
        </w:numPr>
        <w:kinsoku/>
        <w:overflowPunct/>
        <w:topLinePunct w:val="0"/>
        <w:bidi w:val="0"/>
        <w:snapToGrid/>
        <w:ind w:left="0" w:leftChars="0" w:firstLine="640" w:firstLineChars="200"/>
        <w:textAlignment w:val="auto"/>
        <w:rPr>
          <w:rFonts w:hint="eastAsia" w:ascii="仿宋_GB2312" w:hAnsi="宋体"/>
          <w:color w:val="auto"/>
          <w:sz w:val="32"/>
          <w:szCs w:val="32"/>
          <w:lang w:val="en-US" w:eastAsia="zh-CN"/>
        </w:rPr>
      </w:pPr>
      <w:r>
        <w:rPr>
          <w:rFonts w:hint="eastAsia" w:ascii="仿宋_GB2312" w:hAnsi="宋体" w:eastAsia="仿宋_GB2312" w:cs="Times New Roman"/>
          <w:color w:val="auto"/>
          <w:kern w:val="2"/>
          <w:sz w:val="32"/>
          <w:szCs w:val="32"/>
          <w:lang w:val="en-US" w:eastAsia="zh-CN" w:bidi="ar-SA"/>
        </w:rPr>
        <w:t>（三）</w:t>
      </w:r>
      <w:r>
        <w:rPr>
          <w:rFonts w:hint="eastAsia" w:ascii="仿宋_GB2312" w:hAnsi="宋体"/>
          <w:color w:val="auto"/>
          <w:sz w:val="32"/>
          <w:szCs w:val="32"/>
          <w:lang w:val="en-US" w:eastAsia="zh-CN"/>
        </w:rPr>
        <w:t>场址附近及场地活动断层勘察</w:t>
      </w:r>
    </w:p>
    <w:p w14:paraId="10BE9437">
      <w:pPr>
        <w:keepNext w:val="0"/>
        <w:keepLines w:val="0"/>
        <w:pageBreakBefore w:val="0"/>
        <w:widowControl w:val="0"/>
        <w:numPr>
          <w:ilvl w:val="0"/>
          <w:numId w:val="0"/>
        </w:numPr>
        <w:kinsoku/>
        <w:wordWrap/>
        <w:overflowPunct/>
        <w:topLinePunct w:val="0"/>
        <w:autoSpaceDE/>
        <w:autoSpaceDN/>
        <w:bidi w:val="0"/>
        <w:adjustRightInd/>
        <w:snapToGrid/>
        <w:ind w:firstLine="640" w:firstLineChars="200"/>
        <w:jc w:val="both"/>
        <w:textAlignment w:val="auto"/>
        <w:rPr>
          <w:rFonts w:hint="default" w:ascii="仿宋_GB2312" w:hAnsi="宋体"/>
          <w:color w:val="auto"/>
          <w:sz w:val="32"/>
          <w:szCs w:val="32"/>
          <w:lang w:val="en-US" w:eastAsia="zh-CN"/>
        </w:rPr>
      </w:pPr>
      <w:r>
        <w:rPr>
          <w:rFonts w:hint="eastAsia" w:ascii="仿宋_GB2312" w:hAnsi="宋体"/>
          <w:color w:val="auto"/>
          <w:sz w:val="32"/>
          <w:szCs w:val="32"/>
          <w:lang w:val="en-US" w:eastAsia="zh-CN"/>
        </w:rPr>
        <w:t>3.1</w:t>
      </w:r>
      <w:r>
        <w:rPr>
          <w:rFonts w:hint="default" w:ascii="仿宋_GB2312" w:hAnsi="宋体"/>
          <w:color w:val="auto"/>
          <w:sz w:val="32"/>
          <w:szCs w:val="32"/>
          <w:lang w:val="en-US" w:eastAsia="zh-CN"/>
        </w:rPr>
        <w:t>勘查范围</w:t>
      </w:r>
    </w:p>
    <w:p w14:paraId="4F3274CF">
      <w:pPr>
        <w:keepNext w:val="0"/>
        <w:keepLines w:val="0"/>
        <w:pageBreakBefore w:val="0"/>
        <w:widowControl w:val="0"/>
        <w:numPr>
          <w:ilvl w:val="0"/>
          <w:numId w:val="0"/>
        </w:numPr>
        <w:kinsoku/>
        <w:wordWrap/>
        <w:overflowPunct/>
        <w:topLinePunct w:val="0"/>
        <w:autoSpaceDE/>
        <w:autoSpaceDN/>
        <w:bidi w:val="0"/>
        <w:adjustRightInd/>
        <w:snapToGrid/>
        <w:ind w:firstLine="640" w:firstLineChars="200"/>
        <w:jc w:val="both"/>
        <w:textAlignment w:val="auto"/>
        <w:rPr>
          <w:rFonts w:hint="default" w:ascii="仿宋_GB2312" w:hAnsi="宋体"/>
          <w:color w:val="auto"/>
          <w:sz w:val="32"/>
          <w:szCs w:val="32"/>
          <w:lang w:val="en-US" w:eastAsia="zh-CN"/>
        </w:rPr>
      </w:pPr>
      <w:r>
        <w:rPr>
          <w:rFonts w:hint="eastAsia" w:ascii="仿宋_GB2312" w:hAnsi="宋体"/>
          <w:color w:val="auto"/>
          <w:sz w:val="32"/>
          <w:szCs w:val="32"/>
          <w:lang w:val="en-US" w:eastAsia="zh-CN"/>
        </w:rPr>
        <w:t>《</w:t>
      </w:r>
      <w:r>
        <w:rPr>
          <w:rFonts w:hint="default" w:ascii="仿宋_GB2312" w:hAnsi="宋体"/>
          <w:color w:val="auto"/>
          <w:sz w:val="32"/>
          <w:szCs w:val="32"/>
          <w:lang w:val="en-US" w:eastAsia="zh-CN"/>
        </w:rPr>
        <w:t>GB 17741</w:t>
      </w:r>
      <w:r>
        <w:rPr>
          <w:rFonts w:hint="eastAsia" w:ascii="仿宋_GB2312" w:hAnsi="宋体"/>
          <w:color w:val="auto"/>
          <w:sz w:val="32"/>
          <w:szCs w:val="32"/>
          <w:lang w:val="en-US" w:eastAsia="zh-CN"/>
        </w:rPr>
        <w:t xml:space="preserve">  </w:t>
      </w:r>
      <w:r>
        <w:rPr>
          <w:rFonts w:hint="default" w:ascii="仿宋_GB2312" w:hAnsi="宋体"/>
          <w:color w:val="auto"/>
          <w:sz w:val="32"/>
          <w:szCs w:val="32"/>
          <w:lang w:val="en-US" w:eastAsia="zh-CN"/>
        </w:rPr>
        <w:t>工程场地地震安全性评价</w:t>
      </w:r>
      <w:r>
        <w:rPr>
          <w:rFonts w:hint="eastAsia" w:ascii="仿宋_GB2312" w:hAnsi="宋体"/>
          <w:color w:val="auto"/>
          <w:sz w:val="32"/>
          <w:szCs w:val="32"/>
          <w:lang w:val="en-US" w:eastAsia="zh-CN"/>
        </w:rPr>
        <w:t>》规定</w:t>
      </w:r>
      <w:r>
        <w:rPr>
          <w:rFonts w:hint="default" w:ascii="仿宋_GB2312" w:hAnsi="宋体"/>
          <w:color w:val="auto"/>
          <w:sz w:val="32"/>
          <w:szCs w:val="32"/>
          <w:lang w:val="en-US" w:eastAsia="zh-CN"/>
        </w:rPr>
        <w:t>场址附近范围断层活动性评价</w:t>
      </w:r>
      <w:r>
        <w:rPr>
          <w:rFonts w:hint="eastAsia" w:ascii="仿宋_GB2312" w:hAnsi="宋体"/>
          <w:color w:val="auto"/>
          <w:sz w:val="32"/>
          <w:szCs w:val="32"/>
          <w:lang w:val="en-US" w:eastAsia="zh-CN"/>
        </w:rPr>
        <w:t>，</w:t>
      </w:r>
      <w:r>
        <w:rPr>
          <w:rFonts w:hint="default" w:ascii="仿宋_GB2312" w:hAnsi="宋体"/>
          <w:color w:val="auto"/>
          <w:sz w:val="32"/>
          <w:szCs w:val="32"/>
          <w:lang w:val="en-US" w:eastAsia="zh-CN"/>
        </w:rPr>
        <w:t>场址附近范围应不小于工程场地外延5km。场地活动断层勘查范围</w:t>
      </w:r>
      <w:r>
        <w:rPr>
          <w:rFonts w:hint="eastAsia" w:ascii="仿宋_GB2312" w:hAnsi="宋体"/>
          <w:color w:val="auto"/>
          <w:sz w:val="32"/>
          <w:szCs w:val="32"/>
          <w:lang w:val="en-US" w:eastAsia="zh-CN"/>
        </w:rPr>
        <w:t>主要按按工作等级分级、工程类型分类来确定，主要参考《</w:t>
      </w:r>
      <w:r>
        <w:rPr>
          <w:rFonts w:hint="eastAsia"/>
          <w:lang w:val="en-US" w:eastAsia="zh-CN"/>
        </w:rPr>
        <w:t>DBT 100  区域性地震安全性评价》《GB 17741  工程场地地震安全性评价》的要求。</w:t>
      </w:r>
    </w:p>
    <w:tbl>
      <w:tblPr>
        <w:tblStyle w:val="7"/>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9174"/>
      </w:tblGrid>
      <w:tr w14:paraId="3BD46D4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174" w:type="dxa"/>
          </w:tcPr>
          <w:p w14:paraId="0002E0EB">
            <w:pPr>
              <w:keepNext w:val="0"/>
              <w:keepLines w:val="0"/>
              <w:pageBreakBefore w:val="0"/>
              <w:numPr>
                <w:ilvl w:val="0"/>
                <w:numId w:val="0"/>
              </w:numPr>
              <w:kinsoku/>
              <w:overflowPunct/>
              <w:topLinePunct w:val="0"/>
              <w:bidi w:val="0"/>
              <w:snapToGrid/>
              <w:jc w:val="center"/>
              <w:textAlignment w:val="auto"/>
              <w:rPr>
                <w:rFonts w:hint="eastAsia" w:ascii="仿宋_GB2312" w:hAnsi="宋体" w:eastAsia="仿宋_GB2312" w:cs="Times New Roman"/>
                <w:color w:val="auto"/>
                <w:kern w:val="2"/>
                <w:sz w:val="32"/>
                <w:szCs w:val="32"/>
                <w:vertAlign w:val="baseline"/>
                <w:lang w:val="en-US" w:eastAsia="zh-CN" w:bidi="ar-SA"/>
              </w:rPr>
            </w:pPr>
            <w:r>
              <w:drawing>
                <wp:inline distT="0" distB="0" distL="114300" distR="114300">
                  <wp:extent cx="5400040" cy="647065"/>
                  <wp:effectExtent l="9525" t="9525" r="19685" b="10160"/>
                  <wp:docPr id="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6"/>
                          <pic:cNvPicPr>
                            <a:picLocks noChangeAspect="1"/>
                          </pic:cNvPicPr>
                        </pic:nvPicPr>
                        <pic:blipFill>
                          <a:blip r:embed="rId15"/>
                          <a:stretch>
                            <a:fillRect/>
                          </a:stretch>
                        </pic:blipFill>
                        <pic:spPr>
                          <a:xfrm>
                            <a:off x="0" y="0"/>
                            <a:ext cx="5400040" cy="647065"/>
                          </a:xfrm>
                          <a:prstGeom prst="rect">
                            <a:avLst/>
                          </a:prstGeom>
                          <a:noFill/>
                          <a:ln>
                            <a:solidFill>
                              <a:schemeClr val="tx1"/>
                            </a:solidFill>
                          </a:ln>
                        </pic:spPr>
                      </pic:pic>
                    </a:graphicData>
                  </a:graphic>
                </wp:inline>
              </w:drawing>
            </w:r>
          </w:p>
        </w:tc>
      </w:tr>
      <w:tr w14:paraId="7E8B24A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174" w:type="dxa"/>
          </w:tcPr>
          <w:p w14:paraId="17E763FC">
            <w:pPr>
              <w:pStyle w:val="5"/>
              <w:keepNext w:val="0"/>
              <w:keepLines w:val="0"/>
              <w:widowControl/>
              <w:suppressLineNumbers w:val="0"/>
              <w:spacing w:before="0" w:beforeAutospacing="0" w:after="0" w:afterAutospacing="0"/>
              <w:ind w:left="0" w:leftChars="0" w:right="0" w:firstLine="0" w:firstLineChars="0"/>
              <w:jc w:val="center"/>
              <w:rPr>
                <w:rFonts w:hint="eastAsia" w:ascii="仿宋_GB2312" w:hAnsi="宋体" w:eastAsia="仿宋_GB2312" w:cs="Times New Roman"/>
                <w:color w:val="auto"/>
                <w:kern w:val="2"/>
                <w:sz w:val="32"/>
                <w:szCs w:val="32"/>
                <w:vertAlign w:val="baseline"/>
                <w:lang w:val="en-US" w:eastAsia="zh-CN" w:bidi="ar-SA"/>
              </w:rPr>
            </w:pPr>
            <w:r>
              <w:rPr>
                <w:rFonts w:hint="eastAsia"/>
                <w:lang w:val="en-US" w:eastAsia="zh-CN"/>
              </w:rPr>
              <w:t>来源：DBT 100  区域性地震安全性评价</w:t>
            </w:r>
          </w:p>
        </w:tc>
      </w:tr>
      <w:tr w14:paraId="449497A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45" w:hRule="atLeast"/>
        </w:trPr>
        <w:tc>
          <w:tcPr>
            <w:tcW w:w="9174" w:type="dxa"/>
          </w:tcPr>
          <w:p w14:paraId="50B7E6EC">
            <w:pPr>
              <w:keepNext w:val="0"/>
              <w:keepLines w:val="0"/>
              <w:pageBreakBefore w:val="0"/>
              <w:numPr>
                <w:ilvl w:val="0"/>
                <w:numId w:val="0"/>
              </w:numPr>
              <w:kinsoku/>
              <w:overflowPunct/>
              <w:topLinePunct w:val="0"/>
              <w:bidi w:val="0"/>
              <w:snapToGrid/>
              <w:jc w:val="center"/>
              <w:textAlignment w:val="auto"/>
              <w:rPr>
                <w:rFonts w:hint="eastAsia" w:ascii="仿宋_GB2312" w:hAnsi="宋体" w:eastAsia="仿宋_GB2312" w:cs="Times New Roman"/>
                <w:color w:val="auto"/>
                <w:kern w:val="2"/>
                <w:sz w:val="32"/>
                <w:szCs w:val="32"/>
                <w:vertAlign w:val="baseline"/>
                <w:lang w:val="en-US" w:eastAsia="zh-CN" w:bidi="ar-SA"/>
              </w:rPr>
            </w:pPr>
            <w:r>
              <w:drawing>
                <wp:inline distT="0" distB="0" distL="114300" distR="114300">
                  <wp:extent cx="5400040" cy="1688465"/>
                  <wp:effectExtent l="9525" t="9525" r="19685" b="1651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16"/>
                          <a:stretch>
                            <a:fillRect/>
                          </a:stretch>
                        </pic:blipFill>
                        <pic:spPr>
                          <a:xfrm>
                            <a:off x="0" y="0"/>
                            <a:ext cx="5400040" cy="1688465"/>
                          </a:xfrm>
                          <a:prstGeom prst="rect">
                            <a:avLst/>
                          </a:prstGeom>
                          <a:noFill/>
                          <a:ln>
                            <a:solidFill>
                              <a:schemeClr val="tx1"/>
                            </a:solidFill>
                          </a:ln>
                        </pic:spPr>
                      </pic:pic>
                    </a:graphicData>
                  </a:graphic>
                </wp:inline>
              </w:drawing>
            </w:r>
          </w:p>
        </w:tc>
      </w:tr>
      <w:tr w14:paraId="0F6492E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174" w:type="dxa"/>
          </w:tcPr>
          <w:p w14:paraId="484E078C">
            <w:pPr>
              <w:pStyle w:val="5"/>
              <w:keepNext w:val="0"/>
              <w:keepLines w:val="0"/>
              <w:widowControl/>
              <w:suppressLineNumbers w:val="0"/>
              <w:spacing w:before="0" w:beforeAutospacing="0" w:after="0" w:afterAutospacing="0"/>
              <w:ind w:left="0" w:leftChars="0" w:right="0" w:firstLine="0" w:firstLineChars="0"/>
              <w:jc w:val="center"/>
              <w:rPr>
                <w:rFonts w:hint="eastAsia" w:ascii="仿宋_GB2312" w:hAnsi="宋体" w:eastAsia="仿宋_GB2312" w:cs="Times New Roman"/>
                <w:color w:val="auto"/>
                <w:kern w:val="2"/>
                <w:sz w:val="32"/>
                <w:szCs w:val="32"/>
                <w:vertAlign w:val="baseline"/>
                <w:lang w:val="en-US" w:eastAsia="zh-CN" w:bidi="ar-SA"/>
              </w:rPr>
            </w:pPr>
            <w:r>
              <w:rPr>
                <w:rFonts w:hint="eastAsia"/>
                <w:lang w:val="en-US" w:eastAsia="zh-CN"/>
              </w:rPr>
              <w:t>来源：GB 17741  工程场地地震安全性评价</w:t>
            </w:r>
          </w:p>
        </w:tc>
      </w:tr>
    </w:tbl>
    <w:p w14:paraId="00F81B21">
      <w:pPr>
        <w:keepNext w:val="0"/>
        <w:keepLines w:val="0"/>
        <w:pageBreakBefore w:val="0"/>
        <w:widowControl w:val="0"/>
        <w:numPr>
          <w:ilvl w:val="0"/>
          <w:numId w:val="0"/>
        </w:numPr>
        <w:kinsoku/>
        <w:wordWrap/>
        <w:overflowPunct/>
        <w:topLinePunct w:val="0"/>
        <w:autoSpaceDE/>
        <w:autoSpaceDN/>
        <w:bidi w:val="0"/>
        <w:adjustRightInd/>
        <w:snapToGrid/>
        <w:ind w:firstLine="640" w:firstLineChars="200"/>
        <w:jc w:val="both"/>
        <w:textAlignment w:val="auto"/>
        <w:rPr>
          <w:rFonts w:hint="default" w:ascii="仿宋_GB2312" w:hAnsi="宋体"/>
          <w:color w:val="auto"/>
          <w:sz w:val="32"/>
          <w:szCs w:val="32"/>
          <w:lang w:val="en-US" w:eastAsia="zh-CN"/>
        </w:rPr>
      </w:pPr>
      <w:r>
        <w:rPr>
          <w:rFonts w:hint="eastAsia" w:ascii="仿宋_GB2312" w:hAnsi="宋体"/>
          <w:color w:val="auto"/>
          <w:sz w:val="32"/>
          <w:szCs w:val="32"/>
          <w:lang w:val="en-US" w:eastAsia="zh-CN"/>
        </w:rPr>
        <w:t>3.2</w:t>
      </w:r>
      <w:r>
        <w:rPr>
          <w:rFonts w:hint="default" w:ascii="仿宋_GB2312" w:hAnsi="宋体"/>
          <w:color w:val="auto"/>
          <w:sz w:val="32"/>
          <w:szCs w:val="32"/>
          <w:lang w:val="en-US" w:eastAsia="zh-CN"/>
        </w:rPr>
        <w:t>基岩区（浅覆盖区）断层勘查与活动性鉴定</w:t>
      </w:r>
    </w:p>
    <w:p w14:paraId="5ADA2CBA">
      <w:pPr>
        <w:keepNext w:val="0"/>
        <w:keepLines w:val="0"/>
        <w:pageBreakBefore w:val="0"/>
        <w:widowControl w:val="0"/>
        <w:numPr>
          <w:ilvl w:val="0"/>
          <w:numId w:val="0"/>
        </w:numPr>
        <w:kinsoku/>
        <w:wordWrap/>
        <w:overflowPunct/>
        <w:topLinePunct w:val="0"/>
        <w:autoSpaceDE/>
        <w:autoSpaceDN/>
        <w:bidi w:val="0"/>
        <w:adjustRightInd/>
        <w:snapToGrid/>
        <w:ind w:firstLine="640" w:firstLineChars="200"/>
        <w:jc w:val="both"/>
        <w:textAlignment w:val="auto"/>
        <w:rPr>
          <w:rFonts w:hint="eastAsia" w:ascii="仿宋_GB2312" w:hAnsi="宋体"/>
          <w:color w:val="auto"/>
          <w:sz w:val="32"/>
          <w:szCs w:val="32"/>
          <w:lang w:val="en-US" w:eastAsia="zh-CN"/>
        </w:rPr>
      </w:pPr>
      <w:r>
        <w:rPr>
          <w:rFonts w:hint="eastAsia" w:ascii="仿宋_GB2312" w:hAnsi="宋体"/>
          <w:color w:val="auto"/>
          <w:sz w:val="32"/>
          <w:szCs w:val="32"/>
          <w:lang w:val="en-US" w:eastAsia="zh-CN"/>
        </w:rPr>
        <w:t>《</w:t>
      </w:r>
      <w:r>
        <w:rPr>
          <w:rFonts w:hint="default" w:ascii="仿宋_GB2312" w:hAnsi="宋体"/>
          <w:color w:val="auto"/>
          <w:sz w:val="32"/>
          <w:szCs w:val="32"/>
          <w:lang w:val="en-US" w:eastAsia="zh-CN"/>
        </w:rPr>
        <w:t>DB</w:t>
      </w:r>
      <w:r>
        <w:rPr>
          <w:rFonts w:hint="eastAsia" w:ascii="仿宋_GB2312" w:hAnsi="宋体"/>
          <w:color w:val="auto"/>
          <w:sz w:val="32"/>
          <w:szCs w:val="32"/>
          <w:lang w:val="en-US" w:eastAsia="zh-CN"/>
        </w:rPr>
        <w:t>/</w:t>
      </w:r>
      <w:r>
        <w:rPr>
          <w:rFonts w:hint="default" w:ascii="仿宋_GB2312" w:hAnsi="宋体"/>
          <w:color w:val="auto"/>
          <w:sz w:val="32"/>
          <w:szCs w:val="32"/>
          <w:lang w:val="en-US" w:eastAsia="zh-CN"/>
        </w:rPr>
        <w:t>T 100</w:t>
      </w:r>
      <w:r>
        <w:rPr>
          <w:rFonts w:hint="eastAsia" w:ascii="仿宋_GB2312" w:hAnsi="宋体"/>
          <w:color w:val="auto"/>
          <w:sz w:val="32"/>
          <w:szCs w:val="32"/>
          <w:lang w:val="en-US" w:eastAsia="zh-CN"/>
        </w:rPr>
        <w:t xml:space="preserve">  </w:t>
      </w:r>
      <w:r>
        <w:rPr>
          <w:rFonts w:hint="default" w:ascii="仿宋_GB2312" w:hAnsi="宋体"/>
          <w:color w:val="auto"/>
          <w:sz w:val="32"/>
          <w:szCs w:val="32"/>
          <w:lang w:val="en-US" w:eastAsia="zh-CN"/>
        </w:rPr>
        <w:t>区域性地震安全性评价</w:t>
      </w:r>
      <w:r>
        <w:rPr>
          <w:rFonts w:hint="eastAsia" w:ascii="仿宋_GB2312" w:hAnsi="宋体"/>
          <w:color w:val="auto"/>
          <w:sz w:val="32"/>
          <w:szCs w:val="32"/>
          <w:lang w:val="en-US" w:eastAsia="zh-CN"/>
        </w:rPr>
        <w:t>》地震构造评价要求</w:t>
      </w:r>
      <w:r>
        <w:rPr>
          <w:rFonts w:hint="default" w:ascii="仿宋_GB2312" w:hAnsi="宋体"/>
          <w:color w:val="auto"/>
          <w:sz w:val="32"/>
          <w:szCs w:val="32"/>
          <w:lang w:val="en-US" w:eastAsia="zh-CN"/>
        </w:rPr>
        <w:t>搜集分辨率优于5m的遥感影像资料近场区进行遥感影像解译</w:t>
      </w:r>
      <w:r>
        <w:rPr>
          <w:rFonts w:hint="eastAsia" w:ascii="仿宋_GB2312" w:hAnsi="宋体"/>
          <w:color w:val="auto"/>
          <w:sz w:val="32"/>
          <w:szCs w:val="32"/>
          <w:lang w:val="en-US" w:eastAsia="zh-CN"/>
        </w:rPr>
        <w:t>。《GB 17741  工程场地地震安全性评价》场址附近范围遥感影像断层解译要求搜集空间分辨率优于2m的遥感影像，进行第四纪断层解译。</w:t>
      </w:r>
    </w:p>
    <w:tbl>
      <w:tblPr>
        <w:tblStyle w:val="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174"/>
      </w:tblGrid>
      <w:tr w14:paraId="277215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174" w:type="dxa"/>
            <w:tcBorders>
              <w:bottom w:val="single" w:color="auto" w:sz="4" w:space="0"/>
            </w:tcBorders>
          </w:tcPr>
          <w:p w14:paraId="3680BE21">
            <w:pPr>
              <w:keepNext w:val="0"/>
              <w:keepLines w:val="0"/>
              <w:pageBreakBefore w:val="0"/>
              <w:numPr>
                <w:ilvl w:val="0"/>
                <w:numId w:val="0"/>
              </w:numPr>
              <w:kinsoku/>
              <w:overflowPunct/>
              <w:topLinePunct w:val="0"/>
              <w:bidi w:val="0"/>
              <w:snapToGrid/>
              <w:jc w:val="center"/>
              <w:textAlignment w:val="auto"/>
            </w:pPr>
            <w:r>
              <w:drawing>
                <wp:inline distT="0" distB="0" distL="114300" distR="114300">
                  <wp:extent cx="5039995" cy="804545"/>
                  <wp:effectExtent l="0" t="0" r="8255" b="14605"/>
                  <wp:docPr id="1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7"/>
                          <pic:cNvPicPr>
                            <a:picLocks noChangeAspect="1"/>
                          </pic:cNvPicPr>
                        </pic:nvPicPr>
                        <pic:blipFill>
                          <a:blip r:embed="rId17"/>
                          <a:srcRect b="5863"/>
                          <a:stretch>
                            <a:fillRect/>
                          </a:stretch>
                        </pic:blipFill>
                        <pic:spPr>
                          <a:xfrm>
                            <a:off x="0" y="0"/>
                            <a:ext cx="5039995" cy="804545"/>
                          </a:xfrm>
                          <a:prstGeom prst="rect">
                            <a:avLst/>
                          </a:prstGeom>
                          <a:noFill/>
                          <a:ln>
                            <a:noFill/>
                          </a:ln>
                        </pic:spPr>
                      </pic:pic>
                    </a:graphicData>
                  </a:graphic>
                </wp:inline>
              </w:drawing>
            </w:r>
          </w:p>
          <w:p w14:paraId="099A7C6B">
            <w:pPr>
              <w:keepNext w:val="0"/>
              <w:keepLines w:val="0"/>
              <w:pageBreakBefore w:val="0"/>
              <w:numPr>
                <w:ilvl w:val="0"/>
                <w:numId w:val="0"/>
              </w:numPr>
              <w:kinsoku/>
              <w:overflowPunct/>
              <w:topLinePunct w:val="0"/>
              <w:bidi w:val="0"/>
              <w:snapToGrid/>
              <w:jc w:val="center"/>
              <w:textAlignment w:val="auto"/>
              <w:rPr>
                <w:rFonts w:hint="eastAsia"/>
                <w:lang w:val="en-US" w:eastAsia="zh-CN"/>
              </w:rPr>
            </w:pPr>
            <w:r>
              <w:drawing>
                <wp:inline distT="0" distB="0" distL="114300" distR="114300">
                  <wp:extent cx="5039995" cy="2499360"/>
                  <wp:effectExtent l="0" t="0" r="8255" b="15240"/>
                  <wp:docPr id="13"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8"/>
                          <pic:cNvPicPr>
                            <a:picLocks noChangeAspect="1"/>
                          </pic:cNvPicPr>
                        </pic:nvPicPr>
                        <pic:blipFill>
                          <a:blip r:embed="rId18"/>
                          <a:srcRect t="671"/>
                          <a:stretch>
                            <a:fillRect/>
                          </a:stretch>
                        </pic:blipFill>
                        <pic:spPr>
                          <a:xfrm>
                            <a:off x="0" y="0"/>
                            <a:ext cx="5039995" cy="2499360"/>
                          </a:xfrm>
                          <a:prstGeom prst="rect">
                            <a:avLst/>
                          </a:prstGeom>
                          <a:noFill/>
                          <a:ln>
                            <a:noFill/>
                          </a:ln>
                        </pic:spPr>
                      </pic:pic>
                    </a:graphicData>
                  </a:graphic>
                </wp:inline>
              </w:drawing>
            </w:r>
          </w:p>
        </w:tc>
      </w:tr>
      <w:tr w14:paraId="7A6FFD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174" w:type="dxa"/>
            <w:tcBorders>
              <w:top w:val="single" w:color="auto" w:sz="4" w:space="0"/>
              <w:left w:val="nil"/>
              <w:bottom w:val="nil"/>
              <w:right w:val="nil"/>
            </w:tcBorders>
          </w:tcPr>
          <w:p w14:paraId="0A442718">
            <w:pPr>
              <w:pStyle w:val="5"/>
              <w:keepNext w:val="0"/>
              <w:keepLines w:val="0"/>
              <w:widowControl/>
              <w:suppressLineNumbers w:val="0"/>
              <w:spacing w:before="0" w:beforeAutospacing="0" w:after="0" w:afterAutospacing="0"/>
              <w:ind w:left="0" w:leftChars="0" w:right="0" w:firstLine="0" w:firstLineChars="0"/>
              <w:jc w:val="center"/>
              <w:rPr>
                <w:rFonts w:hint="eastAsia" w:ascii="仿宋_GB2312" w:hAnsi="宋体" w:eastAsia="仿宋_GB2312" w:cs="Times New Roman"/>
                <w:color w:val="auto"/>
                <w:kern w:val="2"/>
                <w:sz w:val="32"/>
                <w:szCs w:val="32"/>
                <w:vertAlign w:val="baseline"/>
                <w:lang w:val="en-US" w:eastAsia="zh-CN" w:bidi="ar-SA"/>
              </w:rPr>
            </w:pPr>
            <w:r>
              <w:rPr>
                <w:rFonts w:hint="eastAsia"/>
                <w:lang w:val="en-US" w:eastAsia="zh-CN"/>
              </w:rPr>
              <w:t>来源：《</w:t>
            </w:r>
            <w:r>
              <w:t>工程场地地震安全性评价》宣贯教材</w:t>
            </w:r>
          </w:p>
        </w:tc>
      </w:tr>
    </w:tbl>
    <w:p w14:paraId="42F5205B">
      <w:pPr>
        <w:keepNext w:val="0"/>
        <w:keepLines w:val="0"/>
        <w:pageBreakBefore w:val="0"/>
        <w:widowControl w:val="0"/>
        <w:numPr>
          <w:ilvl w:val="0"/>
          <w:numId w:val="0"/>
        </w:numPr>
        <w:kinsoku/>
        <w:wordWrap/>
        <w:overflowPunct/>
        <w:topLinePunct w:val="0"/>
        <w:autoSpaceDE/>
        <w:autoSpaceDN/>
        <w:bidi w:val="0"/>
        <w:adjustRightInd/>
        <w:snapToGrid/>
        <w:ind w:firstLine="640" w:firstLineChars="200"/>
        <w:jc w:val="both"/>
        <w:textAlignment w:val="auto"/>
        <w:rPr>
          <w:rFonts w:hint="eastAsia" w:ascii="仿宋_GB2312" w:hAnsi="宋体"/>
          <w:color w:val="auto"/>
          <w:sz w:val="32"/>
          <w:szCs w:val="32"/>
          <w:lang w:val="en-US" w:eastAsia="zh-CN"/>
        </w:rPr>
      </w:pPr>
      <w:bookmarkStart w:id="2" w:name="_Toc224899506"/>
      <w:bookmarkStart w:id="3" w:name="_Toc225318575"/>
      <w:r>
        <w:rPr>
          <w:rFonts w:hint="eastAsia" w:ascii="仿宋_GB2312" w:hAnsi="宋体"/>
          <w:color w:val="auto"/>
          <w:sz w:val="32"/>
          <w:szCs w:val="32"/>
          <w:lang w:val="en-US" w:eastAsia="zh-CN"/>
        </w:rPr>
        <w:t>《DBT 100  区域性地震安全性评价》7.4.1要求，对基岩区或浅覆盖区断层，采用露头追索、微地貌测量、槽探、年代测定等方法进行调查。</w:t>
      </w:r>
    </w:p>
    <w:p w14:paraId="26141682">
      <w:pPr>
        <w:keepNext w:val="0"/>
        <w:keepLines w:val="0"/>
        <w:pageBreakBefore w:val="0"/>
        <w:widowControl w:val="0"/>
        <w:numPr>
          <w:ilvl w:val="0"/>
          <w:numId w:val="0"/>
        </w:numPr>
        <w:kinsoku/>
        <w:wordWrap/>
        <w:overflowPunct/>
        <w:topLinePunct w:val="0"/>
        <w:autoSpaceDE/>
        <w:autoSpaceDN/>
        <w:bidi w:val="0"/>
        <w:adjustRightInd/>
        <w:snapToGrid/>
        <w:ind w:firstLine="640" w:firstLineChars="200"/>
        <w:jc w:val="both"/>
        <w:textAlignment w:val="auto"/>
        <w:rPr>
          <w:rFonts w:hint="eastAsia" w:ascii="仿宋_GB2312" w:hAnsi="宋体"/>
          <w:color w:val="auto"/>
          <w:sz w:val="32"/>
          <w:szCs w:val="32"/>
          <w:lang w:val="en-US" w:eastAsia="zh-CN"/>
        </w:rPr>
      </w:pPr>
      <w:r>
        <w:rPr>
          <w:rFonts w:hint="eastAsia" w:ascii="仿宋_GB2312" w:hAnsi="宋体"/>
          <w:color w:val="auto"/>
          <w:sz w:val="32"/>
          <w:szCs w:val="32"/>
          <w:lang w:val="en-US" w:eastAsia="zh-CN"/>
        </w:rPr>
        <w:t>3.3隐伏区断层勘查与活动性鉴定</w:t>
      </w:r>
      <w:bookmarkEnd w:id="2"/>
      <w:bookmarkEnd w:id="3"/>
    </w:p>
    <w:p w14:paraId="2F430B63">
      <w:pPr>
        <w:keepNext w:val="0"/>
        <w:keepLines w:val="0"/>
        <w:pageBreakBefore w:val="0"/>
        <w:widowControl w:val="0"/>
        <w:numPr>
          <w:ilvl w:val="0"/>
          <w:numId w:val="0"/>
        </w:numPr>
        <w:kinsoku/>
        <w:wordWrap/>
        <w:overflowPunct/>
        <w:topLinePunct w:val="0"/>
        <w:autoSpaceDE/>
        <w:autoSpaceDN/>
        <w:bidi w:val="0"/>
        <w:adjustRightInd/>
        <w:snapToGrid/>
        <w:ind w:firstLine="640" w:firstLineChars="200"/>
        <w:jc w:val="both"/>
        <w:textAlignment w:val="auto"/>
        <w:rPr>
          <w:rFonts w:hint="eastAsia" w:ascii="仿宋_GB2312" w:hAnsi="宋体"/>
          <w:color w:val="auto"/>
          <w:sz w:val="32"/>
          <w:szCs w:val="32"/>
          <w:lang w:val="en-US" w:eastAsia="zh-CN"/>
        </w:rPr>
      </w:pPr>
      <w:r>
        <w:rPr>
          <w:rFonts w:hint="eastAsia" w:ascii="仿宋_GB2312" w:hAnsi="宋体"/>
          <w:color w:val="auto"/>
          <w:sz w:val="32"/>
          <w:szCs w:val="32"/>
          <w:lang w:val="en-US" w:eastAsia="zh-CN"/>
        </w:rPr>
        <w:t>对于覆盖区，浅层地震勘探能穿透松散沉积层，有效定位断层位置、揭示断层在第四系内部的延伸形态。使用其他方法时，事先论证其在当地地质条件下的适用性，以防因方法误用导致漏判或误判。多种方法联合探测，以应对复杂地质情况而采取的交叉验证与成果可靠性保障措施。</w:t>
      </w:r>
    </w:p>
    <w:p w14:paraId="5E6CE4CE">
      <w:pPr>
        <w:keepNext w:val="0"/>
        <w:keepLines w:val="0"/>
        <w:pageBreakBefore w:val="0"/>
        <w:widowControl w:val="0"/>
        <w:numPr>
          <w:ilvl w:val="0"/>
          <w:numId w:val="0"/>
        </w:numPr>
        <w:kinsoku/>
        <w:wordWrap/>
        <w:overflowPunct/>
        <w:topLinePunct w:val="0"/>
        <w:autoSpaceDE/>
        <w:autoSpaceDN/>
        <w:bidi w:val="0"/>
        <w:adjustRightInd/>
        <w:snapToGrid/>
        <w:ind w:firstLine="640" w:firstLineChars="200"/>
        <w:jc w:val="both"/>
        <w:textAlignment w:val="auto"/>
        <w:rPr>
          <w:rFonts w:hint="eastAsia" w:ascii="仿宋_GB2312" w:hAnsi="宋体"/>
          <w:color w:val="auto"/>
          <w:sz w:val="32"/>
          <w:szCs w:val="32"/>
          <w:lang w:val="en-US" w:eastAsia="zh-CN"/>
        </w:rPr>
      </w:pPr>
      <w:r>
        <w:rPr>
          <w:rFonts w:hint="eastAsia" w:ascii="仿宋_GB2312" w:hAnsi="宋体"/>
          <w:color w:val="auto"/>
          <w:sz w:val="32"/>
          <w:szCs w:val="32"/>
          <w:lang w:val="en-US" w:eastAsia="zh-CN"/>
        </w:rPr>
        <w:t>对于面状工程，仅通过一两条测线可能遗漏穿过场地的局部构造，因此布设网格化测线，确保数据点均匀覆盖整个区域。对于线路工程，重点探测工作应紧密围绕线路轴线展开。若发现地震剖面存在可疑异常时，要及时采取加密测线或追加测线的方式进行精细探查与定位，避免漏判隐伏构造。</w:t>
      </w:r>
    </w:p>
    <w:tbl>
      <w:tblPr>
        <w:tblStyle w:val="7"/>
        <w:tblW w:w="9174" w:type="dxa"/>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9174"/>
      </w:tblGrid>
      <w:tr w14:paraId="3610C0C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174" w:type="dxa"/>
            <w:vAlign w:val="center"/>
          </w:tcPr>
          <w:p w14:paraId="1D8276BB">
            <w:pPr>
              <w:keepNext w:val="0"/>
              <w:keepLines w:val="0"/>
              <w:pageBreakBefore w:val="0"/>
              <w:kinsoku/>
              <w:overflowPunct/>
              <w:topLinePunct w:val="0"/>
              <w:bidi w:val="0"/>
              <w:snapToGrid/>
              <w:ind w:left="0" w:leftChars="0" w:firstLine="0" w:firstLineChars="0"/>
              <w:textAlignment w:val="auto"/>
              <w:rPr>
                <w:rFonts w:hint="default" w:ascii="仿宋_GB2312" w:hAnsi="宋体"/>
                <w:spacing w:val="0"/>
                <w:w w:val="100"/>
                <w:sz w:val="32"/>
                <w:szCs w:val="32"/>
                <w:vertAlign w:val="baseline"/>
                <w:lang w:val="en-US" w:eastAsia="zh-CN"/>
              </w:rPr>
            </w:pPr>
            <w:r>
              <w:drawing>
                <wp:inline distT="0" distB="0" distL="114300" distR="114300">
                  <wp:extent cx="5679440" cy="1125220"/>
                  <wp:effectExtent l="9525" t="9525" r="26035" b="27305"/>
                  <wp:docPr id="14"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9"/>
                          <pic:cNvPicPr>
                            <a:picLocks noChangeAspect="1"/>
                          </pic:cNvPicPr>
                        </pic:nvPicPr>
                        <pic:blipFill>
                          <a:blip r:embed="rId19"/>
                          <a:stretch>
                            <a:fillRect/>
                          </a:stretch>
                        </pic:blipFill>
                        <pic:spPr>
                          <a:xfrm>
                            <a:off x="0" y="0"/>
                            <a:ext cx="5679440" cy="1125220"/>
                          </a:xfrm>
                          <a:prstGeom prst="rect">
                            <a:avLst/>
                          </a:prstGeom>
                          <a:noFill/>
                          <a:ln>
                            <a:solidFill>
                              <a:schemeClr val="tx1"/>
                            </a:solidFill>
                          </a:ln>
                        </pic:spPr>
                      </pic:pic>
                    </a:graphicData>
                  </a:graphic>
                </wp:inline>
              </w:drawing>
            </w:r>
          </w:p>
        </w:tc>
      </w:tr>
      <w:tr w14:paraId="7036882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174" w:type="dxa"/>
            <w:vAlign w:val="center"/>
          </w:tcPr>
          <w:p w14:paraId="498570DB">
            <w:pPr>
              <w:pStyle w:val="5"/>
              <w:keepNext w:val="0"/>
              <w:keepLines w:val="0"/>
              <w:widowControl/>
              <w:suppressLineNumbers w:val="0"/>
              <w:spacing w:before="0" w:beforeAutospacing="0" w:after="0" w:afterAutospacing="0"/>
              <w:ind w:left="0" w:leftChars="0" w:right="0" w:firstLine="0" w:firstLineChars="0"/>
              <w:jc w:val="center"/>
              <w:rPr>
                <w:rFonts w:hint="default" w:ascii="仿宋_GB2312" w:hAnsi="宋体"/>
                <w:spacing w:val="0"/>
                <w:w w:val="100"/>
                <w:sz w:val="32"/>
                <w:szCs w:val="32"/>
                <w:vertAlign w:val="baseline"/>
                <w:lang w:val="en-US" w:eastAsia="zh-CN"/>
              </w:rPr>
            </w:pPr>
            <w:r>
              <w:rPr>
                <w:rFonts w:hint="eastAsia" w:ascii="仿宋_GB2312" w:hAnsi="宋体"/>
                <w:spacing w:val="0"/>
                <w:w w:val="100"/>
                <w:sz w:val="24"/>
                <w:szCs w:val="24"/>
                <w:vertAlign w:val="baseline"/>
                <w:lang w:val="en-US" w:eastAsia="zh-CN"/>
              </w:rPr>
              <w:t>来源：GB 17741  工程场地地震安全性评价</w:t>
            </w:r>
          </w:p>
        </w:tc>
      </w:tr>
      <w:tr w14:paraId="40F32BC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11" w:hRule="atLeast"/>
        </w:trPr>
        <w:tc>
          <w:tcPr>
            <w:tcW w:w="9174" w:type="dxa"/>
            <w:vAlign w:val="center"/>
          </w:tcPr>
          <w:p w14:paraId="063C6D20">
            <w:pPr>
              <w:pStyle w:val="5"/>
              <w:keepNext w:val="0"/>
              <w:keepLines w:val="0"/>
              <w:widowControl/>
              <w:suppressLineNumbers w:val="0"/>
              <w:spacing w:before="0" w:beforeAutospacing="0" w:after="0" w:afterAutospacing="0"/>
              <w:ind w:left="0" w:leftChars="0" w:right="0" w:firstLine="0" w:firstLineChars="0"/>
              <w:jc w:val="center"/>
              <w:rPr>
                <w:rFonts w:hint="eastAsia" w:ascii="仿宋_GB2312" w:hAnsi="宋体"/>
                <w:spacing w:val="0"/>
                <w:w w:val="100"/>
                <w:sz w:val="24"/>
                <w:szCs w:val="24"/>
                <w:vertAlign w:val="baseline"/>
                <w:lang w:val="en-US" w:eastAsia="zh-CN"/>
              </w:rPr>
            </w:pPr>
            <w:r>
              <w:drawing>
                <wp:inline distT="0" distB="0" distL="114300" distR="114300">
                  <wp:extent cx="5683250" cy="564515"/>
                  <wp:effectExtent l="9525" t="9525" r="22225" b="16510"/>
                  <wp:docPr id="15"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0"/>
                          <pic:cNvPicPr>
                            <a:picLocks noChangeAspect="1"/>
                          </pic:cNvPicPr>
                        </pic:nvPicPr>
                        <pic:blipFill>
                          <a:blip r:embed="rId20"/>
                          <a:stretch>
                            <a:fillRect/>
                          </a:stretch>
                        </pic:blipFill>
                        <pic:spPr>
                          <a:xfrm>
                            <a:off x="0" y="0"/>
                            <a:ext cx="5683250" cy="564515"/>
                          </a:xfrm>
                          <a:prstGeom prst="rect">
                            <a:avLst/>
                          </a:prstGeom>
                          <a:noFill/>
                          <a:ln>
                            <a:solidFill>
                              <a:schemeClr val="tx1"/>
                            </a:solidFill>
                          </a:ln>
                        </pic:spPr>
                      </pic:pic>
                    </a:graphicData>
                  </a:graphic>
                </wp:inline>
              </w:drawing>
            </w:r>
          </w:p>
        </w:tc>
      </w:tr>
      <w:tr w14:paraId="0CF2D66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174" w:type="dxa"/>
            <w:vAlign w:val="center"/>
          </w:tcPr>
          <w:p w14:paraId="3F62AB33">
            <w:pPr>
              <w:pStyle w:val="5"/>
              <w:keepNext w:val="0"/>
              <w:keepLines w:val="0"/>
              <w:widowControl/>
              <w:suppressLineNumbers w:val="0"/>
              <w:spacing w:before="0" w:beforeAutospacing="0" w:after="0" w:afterAutospacing="0"/>
              <w:ind w:left="0" w:leftChars="0" w:right="0" w:firstLine="0" w:firstLineChars="0"/>
              <w:jc w:val="center"/>
              <w:rPr>
                <w:rFonts w:hint="eastAsia" w:ascii="仿宋_GB2312" w:hAnsi="宋体"/>
                <w:spacing w:val="0"/>
                <w:w w:val="100"/>
                <w:sz w:val="24"/>
                <w:szCs w:val="24"/>
                <w:vertAlign w:val="baseline"/>
                <w:lang w:val="en-US" w:eastAsia="zh-CN"/>
              </w:rPr>
            </w:pPr>
            <w:r>
              <w:rPr>
                <w:rFonts w:hint="eastAsia" w:ascii="仿宋_GB2312" w:hAnsi="宋体"/>
                <w:spacing w:val="0"/>
                <w:w w:val="100"/>
                <w:sz w:val="24"/>
                <w:szCs w:val="24"/>
                <w:vertAlign w:val="baseline"/>
                <w:lang w:val="en-US" w:eastAsia="zh-CN"/>
              </w:rPr>
              <w:t>来源：</w:t>
            </w:r>
            <w:r>
              <w:t xml:space="preserve">DBT 100 </w:t>
            </w:r>
            <w:r>
              <w:rPr>
                <w:rFonts w:hint="eastAsia"/>
                <w:lang w:val="en-US" w:eastAsia="zh-CN"/>
              </w:rPr>
              <w:t xml:space="preserve"> </w:t>
            </w:r>
            <w:r>
              <w:t>区域性地震安全性评价</w:t>
            </w:r>
          </w:p>
        </w:tc>
      </w:tr>
    </w:tbl>
    <w:p w14:paraId="45DCD40A">
      <w:pPr>
        <w:keepNext w:val="0"/>
        <w:keepLines w:val="0"/>
        <w:pageBreakBefore w:val="0"/>
        <w:widowControl w:val="0"/>
        <w:numPr>
          <w:ilvl w:val="0"/>
          <w:numId w:val="0"/>
        </w:numPr>
        <w:kinsoku/>
        <w:wordWrap/>
        <w:overflowPunct/>
        <w:topLinePunct w:val="0"/>
        <w:autoSpaceDE/>
        <w:autoSpaceDN/>
        <w:bidi w:val="0"/>
        <w:adjustRightInd/>
        <w:snapToGrid/>
        <w:ind w:firstLine="640" w:firstLineChars="200"/>
        <w:jc w:val="both"/>
        <w:textAlignment w:val="auto"/>
        <w:rPr>
          <w:rFonts w:hint="eastAsia" w:ascii="仿宋_GB2312" w:hAnsi="宋体"/>
          <w:color w:val="auto"/>
          <w:sz w:val="32"/>
          <w:szCs w:val="32"/>
          <w:lang w:val="en-US" w:eastAsia="zh-CN"/>
        </w:rPr>
      </w:pPr>
      <w:r>
        <w:rPr>
          <w:rFonts w:hint="eastAsia" w:ascii="仿宋_GB2312" w:hAnsi="宋体"/>
          <w:color w:val="auto"/>
          <w:sz w:val="32"/>
          <w:szCs w:val="32"/>
          <w:lang w:val="en-US" w:eastAsia="zh-CN"/>
        </w:rPr>
        <w:t>物探测线长度应保证控制目标范围，如果测线长度不足，有效反射段可能未能完整覆盖场区检测范围，无法评估断层对场地边缘的影响。野外工作时，隐伏断裂探测应采用浅层地震勘探钻孔地质联合剖面、年代测定等方法，按照GB/T 36072的规定执行。对于地表出露的断层，通过采集含碳物质可获得沉积物其堆积年龄。对于探槽揭露的断层，需要采集被错断地层和覆盖地层的关键位置样品，以约束断层活动发生的上下时限。而测年方法并非通用，需要根据样品物质类型和目标年代范围合理选择。</w:t>
      </w:r>
    </w:p>
    <w:tbl>
      <w:tblPr>
        <w:tblStyle w:val="7"/>
        <w:tblW w:w="9174" w:type="dxa"/>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4587"/>
        <w:gridCol w:w="4587"/>
      </w:tblGrid>
      <w:tr w14:paraId="400BA1B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11" w:hRule="atLeast"/>
        </w:trPr>
        <w:tc>
          <w:tcPr>
            <w:tcW w:w="4587" w:type="dxa"/>
            <w:vAlign w:val="center"/>
          </w:tcPr>
          <w:p w14:paraId="3B773D4D">
            <w:pPr>
              <w:pStyle w:val="5"/>
              <w:keepNext w:val="0"/>
              <w:keepLines w:val="0"/>
              <w:widowControl/>
              <w:suppressLineNumbers w:val="0"/>
              <w:spacing w:before="0" w:beforeAutospacing="0" w:after="0" w:afterAutospacing="0"/>
              <w:ind w:left="0" w:leftChars="0" w:right="0" w:firstLine="0" w:firstLineChars="0"/>
              <w:jc w:val="center"/>
              <w:rPr>
                <w:rFonts w:hint="eastAsia" w:ascii="仿宋_GB2312" w:hAnsi="宋体"/>
                <w:spacing w:val="0"/>
                <w:w w:val="100"/>
                <w:sz w:val="24"/>
                <w:szCs w:val="24"/>
                <w:vertAlign w:val="baseline"/>
                <w:lang w:val="en-US" w:eastAsia="zh-CN"/>
              </w:rPr>
            </w:pPr>
            <w:r>
              <w:drawing>
                <wp:inline distT="0" distB="0" distL="114300" distR="114300">
                  <wp:extent cx="1979930" cy="1478280"/>
                  <wp:effectExtent l="0" t="0" r="1270" b="7620"/>
                  <wp:docPr id="2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8"/>
                          <pic:cNvPicPr>
                            <a:picLocks noChangeAspect="1"/>
                          </pic:cNvPicPr>
                        </pic:nvPicPr>
                        <pic:blipFill>
                          <a:blip r:embed="rId21"/>
                          <a:stretch>
                            <a:fillRect/>
                          </a:stretch>
                        </pic:blipFill>
                        <pic:spPr>
                          <a:xfrm>
                            <a:off x="0" y="0"/>
                            <a:ext cx="1979930" cy="1478280"/>
                          </a:xfrm>
                          <a:prstGeom prst="rect">
                            <a:avLst/>
                          </a:prstGeom>
                          <a:noFill/>
                          <a:ln>
                            <a:noFill/>
                          </a:ln>
                        </pic:spPr>
                      </pic:pic>
                    </a:graphicData>
                  </a:graphic>
                </wp:inline>
              </w:drawing>
            </w:r>
          </w:p>
        </w:tc>
        <w:tc>
          <w:tcPr>
            <w:tcW w:w="4587" w:type="dxa"/>
            <w:vAlign w:val="center"/>
          </w:tcPr>
          <w:p w14:paraId="3DD0406C">
            <w:pPr>
              <w:pStyle w:val="5"/>
              <w:keepNext w:val="0"/>
              <w:keepLines w:val="0"/>
              <w:widowControl/>
              <w:suppressLineNumbers w:val="0"/>
              <w:spacing w:before="0" w:beforeAutospacing="0" w:after="0" w:afterAutospacing="0"/>
              <w:ind w:left="0" w:leftChars="0" w:right="0" w:firstLine="0" w:firstLineChars="0"/>
              <w:jc w:val="center"/>
              <w:rPr>
                <w:rFonts w:hint="eastAsia" w:ascii="仿宋_GB2312" w:hAnsi="宋体"/>
                <w:spacing w:val="0"/>
                <w:w w:val="100"/>
                <w:sz w:val="24"/>
                <w:szCs w:val="24"/>
                <w:vertAlign w:val="baseline"/>
                <w:lang w:val="en-US" w:eastAsia="zh-CN"/>
              </w:rPr>
            </w:pPr>
            <w:r>
              <w:drawing>
                <wp:inline distT="0" distB="0" distL="114300" distR="114300">
                  <wp:extent cx="1979930" cy="1511935"/>
                  <wp:effectExtent l="0" t="0" r="1270" b="12065"/>
                  <wp:docPr id="30"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9"/>
                          <pic:cNvPicPr>
                            <a:picLocks noChangeAspect="1"/>
                          </pic:cNvPicPr>
                        </pic:nvPicPr>
                        <pic:blipFill>
                          <a:blip r:embed="rId22"/>
                          <a:stretch>
                            <a:fillRect/>
                          </a:stretch>
                        </pic:blipFill>
                        <pic:spPr>
                          <a:xfrm>
                            <a:off x="0" y="0"/>
                            <a:ext cx="1979930" cy="1511935"/>
                          </a:xfrm>
                          <a:prstGeom prst="rect">
                            <a:avLst/>
                          </a:prstGeom>
                          <a:noFill/>
                          <a:ln>
                            <a:noFill/>
                          </a:ln>
                        </pic:spPr>
                      </pic:pic>
                    </a:graphicData>
                  </a:graphic>
                </wp:inline>
              </w:drawing>
            </w:r>
          </w:p>
        </w:tc>
      </w:tr>
      <w:tr w14:paraId="3400796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174" w:type="dxa"/>
            <w:gridSpan w:val="2"/>
            <w:vAlign w:val="center"/>
          </w:tcPr>
          <w:p w14:paraId="19EACA48">
            <w:pPr>
              <w:pStyle w:val="5"/>
              <w:keepNext w:val="0"/>
              <w:keepLines w:val="0"/>
              <w:widowControl/>
              <w:suppressLineNumbers w:val="0"/>
              <w:spacing w:before="0" w:beforeAutospacing="0" w:after="0" w:afterAutospacing="0"/>
              <w:ind w:left="0" w:leftChars="0" w:right="0" w:firstLine="0" w:firstLineChars="0"/>
              <w:jc w:val="center"/>
              <w:rPr>
                <w:rFonts w:hint="eastAsia" w:ascii="仿宋_GB2312" w:hAnsi="宋体"/>
                <w:spacing w:val="0"/>
                <w:w w:val="100"/>
                <w:sz w:val="24"/>
                <w:szCs w:val="24"/>
                <w:vertAlign w:val="baseline"/>
                <w:lang w:val="en-US" w:eastAsia="zh-CN"/>
              </w:rPr>
            </w:pPr>
            <w:r>
              <w:rPr>
                <w:rFonts w:hint="eastAsia" w:ascii="仿宋_GB2312" w:hAnsi="宋体"/>
                <w:spacing w:val="0"/>
                <w:w w:val="100"/>
                <w:sz w:val="24"/>
                <w:szCs w:val="24"/>
                <w:vertAlign w:val="baseline"/>
                <w:lang w:val="en-US" w:eastAsia="zh-CN"/>
              </w:rPr>
              <w:t>图3 测线工作照片</w:t>
            </w:r>
          </w:p>
        </w:tc>
      </w:tr>
    </w:tbl>
    <w:p w14:paraId="443A4D5A">
      <w:pPr>
        <w:keepNext w:val="0"/>
        <w:keepLines w:val="0"/>
        <w:pageBreakBefore w:val="0"/>
        <w:widowControl w:val="0"/>
        <w:numPr>
          <w:ilvl w:val="0"/>
          <w:numId w:val="0"/>
        </w:numPr>
        <w:kinsoku/>
        <w:wordWrap/>
        <w:overflowPunct/>
        <w:topLinePunct w:val="0"/>
        <w:autoSpaceDE/>
        <w:autoSpaceDN/>
        <w:bidi w:val="0"/>
        <w:adjustRightInd/>
        <w:snapToGrid/>
        <w:ind w:firstLine="640" w:firstLineChars="200"/>
        <w:jc w:val="both"/>
        <w:textAlignment w:val="auto"/>
        <w:rPr>
          <w:rFonts w:hint="default" w:ascii="仿宋_GB2312" w:hAnsi="宋体"/>
          <w:color w:val="auto"/>
          <w:sz w:val="32"/>
          <w:szCs w:val="32"/>
          <w:lang w:val="en-US" w:eastAsia="zh-CN"/>
        </w:rPr>
      </w:pPr>
      <w:r>
        <w:rPr>
          <w:rFonts w:hint="eastAsia" w:ascii="仿宋_GB2312" w:hAnsi="宋体"/>
          <w:color w:val="auto"/>
          <w:sz w:val="32"/>
          <w:szCs w:val="32"/>
          <w:lang w:val="en-US" w:eastAsia="zh-CN"/>
        </w:rPr>
        <w:t>3.4</w:t>
      </w:r>
      <w:r>
        <w:rPr>
          <w:rFonts w:hint="default" w:ascii="仿宋_GB2312" w:hAnsi="宋体"/>
          <w:color w:val="auto"/>
          <w:sz w:val="32"/>
          <w:szCs w:val="32"/>
          <w:lang w:val="en-US" w:eastAsia="zh-CN"/>
        </w:rPr>
        <w:t>槽探要求</w:t>
      </w:r>
    </w:p>
    <w:p w14:paraId="27DFC84B">
      <w:pPr>
        <w:pStyle w:val="5"/>
        <w:keepNext w:val="0"/>
        <w:keepLines w:val="0"/>
        <w:widowControl/>
        <w:suppressLineNumbers w:val="0"/>
        <w:spacing w:before="0" w:beforeAutospacing="0" w:after="0" w:afterAutospacing="0"/>
        <w:ind w:left="0" w:right="0" w:firstLine="0"/>
        <w:rPr>
          <w:rFonts w:hint="default" w:ascii="仿宋_GB2312" w:hAnsi="宋体"/>
          <w:color w:val="auto"/>
          <w:sz w:val="32"/>
          <w:szCs w:val="32"/>
          <w:lang w:val="en-US" w:eastAsia="zh-CN"/>
        </w:rPr>
      </w:pPr>
      <w:r>
        <w:rPr>
          <w:rFonts w:hint="eastAsia" w:ascii="仿宋_GB2312" w:hAnsi="宋体" w:cs="Times New Roman"/>
          <w:color w:val="auto"/>
          <w:kern w:val="2"/>
          <w:sz w:val="32"/>
          <w:szCs w:val="32"/>
          <w:lang w:val="en-US" w:eastAsia="zh-CN" w:bidi="ar-SA"/>
        </w:rPr>
        <w:t>根据《</w:t>
      </w:r>
      <w:r>
        <w:rPr>
          <w:rFonts w:hint="default" w:ascii="仿宋_GB2312" w:hAnsi="宋体" w:eastAsia="仿宋_GB2312" w:cs="Times New Roman"/>
          <w:color w:val="auto"/>
          <w:kern w:val="2"/>
          <w:sz w:val="32"/>
          <w:szCs w:val="32"/>
          <w:lang w:val="en-US" w:eastAsia="zh-CN" w:bidi="ar-SA"/>
        </w:rPr>
        <w:t>GB</w:t>
      </w:r>
      <w:r>
        <w:rPr>
          <w:rFonts w:hint="eastAsia" w:ascii="仿宋_GB2312" w:hAnsi="宋体" w:cs="Times New Roman"/>
          <w:color w:val="auto"/>
          <w:kern w:val="2"/>
          <w:sz w:val="32"/>
          <w:szCs w:val="32"/>
          <w:lang w:val="en-US" w:eastAsia="zh-CN" w:bidi="ar-SA"/>
        </w:rPr>
        <w:t>/</w:t>
      </w:r>
      <w:r>
        <w:rPr>
          <w:rFonts w:hint="default" w:ascii="仿宋_GB2312" w:hAnsi="宋体" w:eastAsia="仿宋_GB2312" w:cs="Times New Roman"/>
          <w:color w:val="auto"/>
          <w:kern w:val="2"/>
          <w:sz w:val="32"/>
          <w:szCs w:val="32"/>
          <w:lang w:val="en-US" w:eastAsia="zh-CN" w:bidi="ar-SA"/>
        </w:rPr>
        <w:t>T 36072</w:t>
      </w:r>
      <w:r>
        <w:rPr>
          <w:rFonts w:hint="eastAsia" w:ascii="仿宋_GB2312" w:hAnsi="宋体" w:cs="Times New Roman"/>
          <w:color w:val="auto"/>
          <w:kern w:val="2"/>
          <w:sz w:val="32"/>
          <w:szCs w:val="32"/>
          <w:lang w:val="en-US" w:eastAsia="zh-CN" w:bidi="ar-SA"/>
        </w:rPr>
        <w:t xml:space="preserve">  </w:t>
      </w:r>
      <w:r>
        <w:rPr>
          <w:rFonts w:hint="default" w:ascii="仿宋_GB2312" w:hAnsi="宋体" w:eastAsia="仿宋_GB2312" w:cs="Times New Roman"/>
          <w:color w:val="auto"/>
          <w:kern w:val="2"/>
          <w:sz w:val="32"/>
          <w:szCs w:val="32"/>
          <w:lang w:val="en-US" w:eastAsia="zh-CN" w:bidi="ar-SA"/>
        </w:rPr>
        <w:t>活动断层探测</w:t>
      </w:r>
      <w:r>
        <w:rPr>
          <w:rFonts w:hint="eastAsia" w:ascii="仿宋_GB2312" w:hAnsi="宋体" w:cs="Times New Roman"/>
          <w:color w:val="auto"/>
          <w:kern w:val="2"/>
          <w:sz w:val="32"/>
          <w:szCs w:val="32"/>
          <w:lang w:val="en-US" w:eastAsia="zh-CN" w:bidi="ar-SA"/>
        </w:rPr>
        <w:t>》，</w:t>
      </w:r>
      <w:r>
        <w:rPr>
          <w:rFonts w:hint="default" w:ascii="仿宋_GB2312" w:hAnsi="宋体"/>
          <w:color w:val="auto"/>
          <w:sz w:val="32"/>
          <w:szCs w:val="32"/>
          <w:lang w:val="en-US" w:eastAsia="zh-CN"/>
        </w:rPr>
        <w:t>槽探用于地表出露迹线的活动断层或上断点浅于8m的隐伏活动断层探测。活动断层鉴定探槽应横跨整个断层带。一个地震破裂段上应至少有2个可对比或相互验证的探槽。探槽剖面应采用素描、照片、文字描述等方式记录。探槽剖面比例尺宜为1:20，根据实际情况可在1:50～1:10范围内变动。</w:t>
      </w:r>
    </w:p>
    <w:p w14:paraId="6E63E4FD">
      <w:pPr>
        <w:keepNext w:val="0"/>
        <w:keepLines w:val="0"/>
        <w:pageBreakBefore w:val="0"/>
        <w:widowControl w:val="0"/>
        <w:numPr>
          <w:ilvl w:val="0"/>
          <w:numId w:val="0"/>
        </w:numPr>
        <w:kinsoku/>
        <w:wordWrap/>
        <w:overflowPunct/>
        <w:topLinePunct w:val="0"/>
        <w:autoSpaceDE/>
        <w:autoSpaceDN/>
        <w:bidi w:val="0"/>
        <w:adjustRightInd/>
        <w:snapToGrid/>
        <w:ind w:firstLine="640" w:firstLineChars="200"/>
        <w:jc w:val="both"/>
        <w:textAlignment w:val="auto"/>
        <w:rPr>
          <w:rFonts w:hint="default" w:ascii="仿宋_GB2312" w:hAnsi="宋体"/>
          <w:color w:val="auto"/>
          <w:sz w:val="32"/>
          <w:szCs w:val="32"/>
          <w:lang w:val="en-US" w:eastAsia="zh-CN"/>
        </w:rPr>
      </w:pPr>
      <w:r>
        <w:rPr>
          <w:rFonts w:hint="eastAsia" w:ascii="仿宋_GB2312" w:hAnsi="宋体"/>
          <w:color w:val="auto"/>
          <w:sz w:val="32"/>
          <w:szCs w:val="32"/>
          <w:lang w:val="en-US" w:eastAsia="zh-CN"/>
        </w:rPr>
        <w:t>3.5</w:t>
      </w:r>
      <w:r>
        <w:rPr>
          <w:rFonts w:hint="default" w:ascii="仿宋_GB2312" w:hAnsi="宋体"/>
          <w:color w:val="auto"/>
          <w:sz w:val="32"/>
          <w:szCs w:val="32"/>
          <w:lang w:val="en-US" w:eastAsia="zh-CN"/>
        </w:rPr>
        <w:t>钻孔联合地质剖面要求</w:t>
      </w:r>
    </w:p>
    <w:p w14:paraId="2436582A">
      <w:pPr>
        <w:keepNext w:val="0"/>
        <w:keepLines w:val="0"/>
        <w:pageBreakBefore w:val="0"/>
        <w:widowControl w:val="0"/>
        <w:numPr>
          <w:ilvl w:val="0"/>
          <w:numId w:val="0"/>
        </w:numPr>
        <w:kinsoku/>
        <w:wordWrap/>
        <w:overflowPunct/>
        <w:topLinePunct w:val="0"/>
        <w:autoSpaceDE/>
        <w:autoSpaceDN/>
        <w:bidi w:val="0"/>
        <w:adjustRightInd/>
        <w:snapToGrid/>
        <w:ind w:firstLine="640" w:firstLineChars="200"/>
        <w:jc w:val="both"/>
        <w:textAlignment w:val="auto"/>
        <w:rPr>
          <w:rFonts w:hint="eastAsia" w:ascii="仿宋_GB2312" w:hAnsi="宋体"/>
          <w:color w:val="auto"/>
          <w:sz w:val="32"/>
          <w:szCs w:val="32"/>
          <w:lang w:val="en-US" w:eastAsia="zh-CN"/>
        </w:rPr>
      </w:pPr>
      <w:r>
        <w:rPr>
          <w:rFonts w:hint="default" w:ascii="仿宋_GB2312" w:hAnsi="宋体"/>
          <w:color w:val="auto"/>
          <w:sz w:val="32"/>
          <w:szCs w:val="32"/>
          <w:lang w:val="en-US" w:eastAsia="zh-CN"/>
        </w:rPr>
        <w:t>钻孔布设</w:t>
      </w:r>
      <w:r>
        <w:rPr>
          <w:rFonts w:hint="eastAsia"/>
          <w:color w:val="auto"/>
        </w:rPr>
        <w:t>位置</w:t>
      </w:r>
      <w:r>
        <w:rPr>
          <w:rFonts w:hint="eastAsia"/>
          <w:color w:val="auto"/>
          <w:lang w:eastAsia="zh-CN"/>
        </w:rPr>
        <w:t>、</w:t>
      </w:r>
      <w:r>
        <w:rPr>
          <w:rFonts w:hint="eastAsia"/>
          <w:color w:val="auto"/>
        </w:rPr>
        <w:t>数量与间距</w:t>
      </w:r>
      <w:r>
        <w:rPr>
          <w:rFonts w:hint="eastAsia"/>
          <w:color w:val="auto"/>
          <w:lang w:eastAsia="zh-CN"/>
        </w:rPr>
        <w:t>、</w:t>
      </w:r>
      <w:r>
        <w:rPr>
          <w:rFonts w:hint="eastAsia"/>
          <w:color w:val="auto"/>
        </w:rPr>
        <w:t>钻孔的终孔深度</w:t>
      </w:r>
      <w:r>
        <w:rPr>
          <w:rFonts w:hint="eastAsia"/>
          <w:color w:val="auto"/>
          <w:lang w:eastAsia="zh-CN"/>
        </w:rPr>
        <w:t>、</w:t>
      </w:r>
      <w:r>
        <w:rPr>
          <w:rFonts w:hint="eastAsia"/>
          <w:color w:val="auto"/>
        </w:rPr>
        <w:t>岩芯采集要求</w:t>
      </w:r>
      <w:r>
        <w:rPr>
          <w:rFonts w:hint="eastAsia"/>
          <w:color w:val="auto"/>
          <w:lang w:val="en-US" w:eastAsia="zh-CN"/>
        </w:rPr>
        <w:t>等方面内容。</w:t>
      </w:r>
      <w:r>
        <w:rPr>
          <w:rFonts w:hint="default" w:ascii="仿宋_GB2312" w:hAnsi="宋体"/>
          <w:color w:val="auto"/>
          <w:sz w:val="32"/>
          <w:szCs w:val="32"/>
          <w:lang w:val="en-US" w:eastAsia="zh-CN"/>
        </w:rPr>
        <w:t>钻孔布设</w:t>
      </w:r>
      <w:r>
        <w:rPr>
          <w:rFonts w:hint="eastAsia" w:ascii="仿宋_GB2312" w:hAnsi="宋体"/>
          <w:color w:val="auto"/>
          <w:sz w:val="32"/>
          <w:szCs w:val="32"/>
          <w:lang w:val="en-US" w:eastAsia="zh-CN"/>
        </w:rPr>
        <w:t>及岩芯编录的要求参照《GB/T 36072  活动断层探测》规定的要求。</w:t>
      </w:r>
    </w:p>
    <w:tbl>
      <w:tblPr>
        <w:tblStyle w:val="7"/>
        <w:tblW w:w="917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174"/>
      </w:tblGrid>
      <w:tr w14:paraId="0E145E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174" w:type="dxa"/>
            <w:tcBorders>
              <w:bottom w:val="single" w:color="auto" w:sz="4" w:space="0"/>
            </w:tcBorders>
            <w:vAlign w:val="center"/>
          </w:tcPr>
          <w:p w14:paraId="56BD9643">
            <w:pPr>
              <w:keepNext w:val="0"/>
              <w:keepLines w:val="0"/>
              <w:pageBreakBefore w:val="0"/>
              <w:kinsoku/>
              <w:overflowPunct/>
              <w:topLinePunct w:val="0"/>
              <w:bidi w:val="0"/>
              <w:snapToGrid/>
              <w:ind w:left="0" w:leftChars="0" w:firstLine="0" w:firstLineChars="0"/>
              <w:textAlignment w:val="auto"/>
            </w:pPr>
            <w:r>
              <w:drawing>
                <wp:inline distT="0" distB="0" distL="114300" distR="114300">
                  <wp:extent cx="5679440" cy="2546350"/>
                  <wp:effectExtent l="0" t="0" r="16510" b="6350"/>
                  <wp:docPr id="17"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1"/>
                          <pic:cNvPicPr>
                            <a:picLocks noChangeAspect="1"/>
                          </pic:cNvPicPr>
                        </pic:nvPicPr>
                        <pic:blipFill>
                          <a:blip r:embed="rId23"/>
                          <a:stretch>
                            <a:fillRect/>
                          </a:stretch>
                        </pic:blipFill>
                        <pic:spPr>
                          <a:xfrm>
                            <a:off x="0" y="0"/>
                            <a:ext cx="5679440" cy="2546350"/>
                          </a:xfrm>
                          <a:prstGeom prst="rect">
                            <a:avLst/>
                          </a:prstGeom>
                          <a:noFill/>
                          <a:ln>
                            <a:noFill/>
                          </a:ln>
                        </pic:spPr>
                      </pic:pic>
                    </a:graphicData>
                  </a:graphic>
                </wp:inline>
              </w:drawing>
            </w:r>
          </w:p>
          <w:p w14:paraId="7E7A7B57">
            <w:pPr>
              <w:keepNext w:val="0"/>
              <w:keepLines w:val="0"/>
              <w:pageBreakBefore w:val="0"/>
              <w:kinsoku/>
              <w:overflowPunct/>
              <w:topLinePunct w:val="0"/>
              <w:bidi w:val="0"/>
              <w:snapToGrid/>
              <w:ind w:left="0" w:leftChars="0" w:firstLine="0" w:firstLineChars="0"/>
              <w:textAlignment w:val="auto"/>
              <w:rPr>
                <w:rFonts w:hint="default"/>
                <w:lang w:val="en-US" w:eastAsia="zh-CN"/>
              </w:rPr>
            </w:pPr>
            <w:r>
              <w:drawing>
                <wp:inline distT="0" distB="0" distL="114300" distR="114300">
                  <wp:extent cx="5685790" cy="1404620"/>
                  <wp:effectExtent l="0" t="0" r="10160" b="5080"/>
                  <wp:docPr id="18"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2"/>
                          <pic:cNvPicPr>
                            <a:picLocks noChangeAspect="1"/>
                          </pic:cNvPicPr>
                        </pic:nvPicPr>
                        <pic:blipFill>
                          <a:blip r:embed="rId24"/>
                          <a:stretch>
                            <a:fillRect/>
                          </a:stretch>
                        </pic:blipFill>
                        <pic:spPr>
                          <a:xfrm>
                            <a:off x="0" y="0"/>
                            <a:ext cx="5685790" cy="1404620"/>
                          </a:xfrm>
                          <a:prstGeom prst="rect">
                            <a:avLst/>
                          </a:prstGeom>
                          <a:noFill/>
                          <a:ln>
                            <a:noFill/>
                          </a:ln>
                        </pic:spPr>
                      </pic:pic>
                    </a:graphicData>
                  </a:graphic>
                </wp:inline>
              </w:drawing>
            </w:r>
          </w:p>
        </w:tc>
      </w:tr>
      <w:tr w14:paraId="6183FD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174" w:type="dxa"/>
            <w:tcBorders>
              <w:top w:val="single" w:color="auto" w:sz="4" w:space="0"/>
              <w:left w:val="nil"/>
              <w:bottom w:val="nil"/>
              <w:right w:val="nil"/>
            </w:tcBorders>
            <w:vAlign w:val="center"/>
          </w:tcPr>
          <w:p w14:paraId="65868008">
            <w:pPr>
              <w:pStyle w:val="5"/>
              <w:keepNext w:val="0"/>
              <w:keepLines w:val="0"/>
              <w:widowControl/>
              <w:suppressLineNumbers w:val="0"/>
              <w:spacing w:before="0" w:beforeAutospacing="0" w:after="0" w:afterAutospacing="0"/>
              <w:ind w:left="0" w:leftChars="0" w:right="0" w:firstLine="0" w:firstLineChars="0"/>
              <w:jc w:val="center"/>
              <w:rPr>
                <w:rFonts w:hint="default" w:ascii="仿宋_GB2312" w:hAnsi="宋体"/>
                <w:spacing w:val="0"/>
                <w:w w:val="100"/>
                <w:sz w:val="32"/>
                <w:szCs w:val="32"/>
                <w:vertAlign w:val="baseline"/>
                <w:lang w:val="en-US" w:eastAsia="zh-CN"/>
              </w:rPr>
            </w:pPr>
            <w:r>
              <w:rPr>
                <w:rFonts w:hint="eastAsia" w:ascii="仿宋_GB2312" w:hAnsi="宋体"/>
                <w:spacing w:val="0"/>
                <w:w w:val="100"/>
                <w:sz w:val="24"/>
                <w:szCs w:val="24"/>
                <w:vertAlign w:val="baseline"/>
                <w:lang w:val="en-US" w:eastAsia="zh-CN"/>
              </w:rPr>
              <w:t>来源：GB/T 36072  活动断层探测</w:t>
            </w:r>
          </w:p>
        </w:tc>
      </w:tr>
    </w:tbl>
    <w:p w14:paraId="2E8DB5B6">
      <w:pPr>
        <w:keepNext w:val="0"/>
        <w:keepLines w:val="0"/>
        <w:pageBreakBefore w:val="0"/>
        <w:kinsoku/>
        <w:overflowPunct/>
        <w:topLinePunct w:val="0"/>
        <w:bidi w:val="0"/>
        <w:snapToGrid/>
        <w:ind w:left="0" w:firstLine="640" w:firstLineChars="200"/>
        <w:textAlignment w:val="auto"/>
        <w:rPr>
          <w:rFonts w:hint="default" w:ascii="仿宋_GB2312" w:hAnsi="宋体"/>
          <w:color w:val="auto"/>
          <w:sz w:val="32"/>
          <w:szCs w:val="32"/>
          <w:lang w:val="en-US" w:eastAsia="zh-CN"/>
        </w:rPr>
      </w:pPr>
      <w:r>
        <w:rPr>
          <w:rFonts w:hint="eastAsia" w:ascii="仿宋_GB2312" w:hAnsi="宋体"/>
          <w:color w:val="auto"/>
          <w:sz w:val="32"/>
          <w:szCs w:val="32"/>
          <w:lang w:val="en-US" w:eastAsia="zh-CN"/>
        </w:rPr>
        <w:t>（四）场地钻探</w:t>
      </w:r>
    </w:p>
    <w:p w14:paraId="7E39D949">
      <w:pPr>
        <w:keepNext w:val="0"/>
        <w:keepLines w:val="0"/>
        <w:pageBreakBefore w:val="0"/>
        <w:widowControl w:val="0"/>
        <w:numPr>
          <w:ilvl w:val="0"/>
          <w:numId w:val="0"/>
        </w:numPr>
        <w:kinsoku/>
        <w:wordWrap/>
        <w:overflowPunct/>
        <w:topLinePunct w:val="0"/>
        <w:autoSpaceDE/>
        <w:autoSpaceDN/>
        <w:bidi w:val="0"/>
        <w:adjustRightInd/>
        <w:snapToGrid/>
        <w:ind w:firstLine="640" w:firstLineChars="200"/>
        <w:jc w:val="both"/>
        <w:textAlignment w:val="auto"/>
        <w:rPr>
          <w:rFonts w:hint="default" w:ascii="仿宋_GB2312" w:hAnsi="宋体"/>
          <w:color w:val="auto"/>
          <w:sz w:val="32"/>
          <w:szCs w:val="32"/>
          <w:lang w:val="en-US" w:eastAsia="zh-CN"/>
        </w:rPr>
      </w:pPr>
      <w:r>
        <w:rPr>
          <w:rFonts w:hint="eastAsia" w:ascii="仿宋_GB2312" w:hAnsi="宋体"/>
          <w:color w:val="auto"/>
          <w:sz w:val="32"/>
          <w:szCs w:val="32"/>
          <w:lang w:val="en-US" w:eastAsia="zh-CN"/>
        </w:rPr>
        <w:t>4.1钻孔布设</w:t>
      </w:r>
    </w:p>
    <w:p w14:paraId="357FA49A">
      <w:pPr>
        <w:keepNext w:val="0"/>
        <w:keepLines w:val="0"/>
        <w:pageBreakBefore w:val="0"/>
        <w:widowControl w:val="0"/>
        <w:numPr>
          <w:ilvl w:val="0"/>
          <w:numId w:val="0"/>
        </w:numPr>
        <w:kinsoku/>
        <w:overflowPunct/>
        <w:topLinePunct w:val="0"/>
        <w:bidi w:val="0"/>
        <w:snapToGrid/>
        <w:ind w:firstLine="640" w:firstLineChars="200"/>
        <w:jc w:val="both"/>
        <w:textAlignment w:val="auto"/>
        <w:rPr>
          <w:rFonts w:hint="default" w:ascii="仿宋_GB2312" w:hAnsi="宋体"/>
          <w:color w:val="auto"/>
          <w:sz w:val="32"/>
          <w:szCs w:val="32"/>
          <w:lang w:val="en-US" w:eastAsia="zh-CN"/>
        </w:rPr>
      </w:pPr>
      <w:r>
        <w:rPr>
          <w:rFonts w:hint="eastAsia" w:ascii="仿宋_GB2312" w:hAnsi="宋体"/>
          <w:color w:val="auto"/>
          <w:sz w:val="32"/>
          <w:szCs w:val="32"/>
          <w:lang w:val="en-US" w:eastAsia="zh-CN"/>
        </w:rPr>
        <w:t>根据《</w:t>
      </w:r>
      <w:r>
        <w:rPr>
          <w:rFonts w:hint="default" w:ascii="仿宋_GB2312" w:hAnsi="宋体"/>
          <w:color w:val="auto"/>
          <w:sz w:val="32"/>
          <w:szCs w:val="32"/>
          <w:lang w:val="en-US" w:eastAsia="zh-CN"/>
        </w:rPr>
        <w:t>GB 17741</w:t>
      </w:r>
      <w:r>
        <w:rPr>
          <w:rFonts w:hint="eastAsia" w:ascii="仿宋_GB2312" w:hAnsi="宋体"/>
          <w:color w:val="auto"/>
          <w:sz w:val="32"/>
          <w:szCs w:val="32"/>
          <w:lang w:val="en-US" w:eastAsia="zh-CN"/>
        </w:rPr>
        <w:t xml:space="preserve">  </w:t>
      </w:r>
      <w:r>
        <w:rPr>
          <w:rFonts w:hint="default" w:ascii="仿宋_GB2312" w:hAnsi="宋体"/>
          <w:color w:val="auto"/>
          <w:sz w:val="32"/>
          <w:szCs w:val="32"/>
          <w:lang w:val="en-US" w:eastAsia="zh-CN"/>
        </w:rPr>
        <w:t>工程场地地震安全性评价</w:t>
      </w:r>
      <w:r>
        <w:rPr>
          <w:rFonts w:hint="eastAsia" w:ascii="仿宋_GB2312" w:hAnsi="宋体"/>
          <w:color w:val="auto"/>
          <w:sz w:val="32"/>
          <w:szCs w:val="32"/>
          <w:lang w:val="en-US" w:eastAsia="zh-CN"/>
        </w:rPr>
        <w:t>》，实施场地地震工程钻孔，钻孔布设能够控制场地岩土层空间变化和拟建工程结构分布，钻孔间距不大于500m。对于钻孔数量，I级工作不少于5个钻孔，II级工作不少于3个钻孔，主体结构下方不少于1个钻孔，海域场地不少于1个钻孔。根据关于印发《广西壮族自治区地震安全性评价现场工作技术规定》的通知(桂震发〔2023〕26号),通过开展现场地质考察工作，确定场地为基岩出露区，且能确定为Ⅰ类（Ⅰ0类或Ⅰ1类）场地的，可不进行钻探，但应当绘制工程地质剖面图。对于场地跨不同工程地质单元的，应加密钻孔数量，加密钻孔间距不大于规定钻孔间距的一半。同时规定了不同类型工程钻孔的布设要求。</w:t>
      </w:r>
    </w:p>
    <w:tbl>
      <w:tblPr>
        <w:tblStyle w:val="7"/>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174"/>
      </w:tblGrid>
      <w:tr w14:paraId="7F62A7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0" w:type="pct"/>
            <w:tcBorders>
              <w:top w:val="nil"/>
              <w:left w:val="nil"/>
              <w:bottom w:val="nil"/>
              <w:right w:val="nil"/>
            </w:tcBorders>
            <w:vAlign w:val="center"/>
          </w:tcPr>
          <w:p w14:paraId="1EC22501">
            <w:pPr>
              <w:pStyle w:val="5"/>
              <w:keepNext w:val="0"/>
              <w:keepLines w:val="0"/>
              <w:widowControl/>
              <w:suppressLineNumbers w:val="0"/>
              <w:spacing w:before="0" w:beforeAutospacing="0" w:after="0" w:afterAutospacing="0"/>
              <w:ind w:left="0" w:leftChars="0" w:right="0" w:firstLine="0" w:firstLineChars="0"/>
              <w:jc w:val="center"/>
              <w:rPr>
                <w:rFonts w:hint="eastAsia" w:ascii="仿宋_GB2312" w:hAnsi="宋体"/>
                <w:spacing w:val="0"/>
                <w:w w:val="100"/>
                <w:sz w:val="24"/>
                <w:szCs w:val="24"/>
                <w:vertAlign w:val="baseline"/>
                <w:lang w:val="en-US" w:eastAsia="zh-CN"/>
              </w:rPr>
            </w:pPr>
            <w:r>
              <w:drawing>
                <wp:inline distT="0" distB="0" distL="114300" distR="114300">
                  <wp:extent cx="2520315" cy="2620645"/>
                  <wp:effectExtent l="0" t="0" r="13335" b="8255"/>
                  <wp:docPr id="34"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12"/>
                          <pic:cNvPicPr>
                            <a:picLocks noChangeAspect="1"/>
                          </pic:cNvPicPr>
                        </pic:nvPicPr>
                        <pic:blipFill>
                          <a:blip r:embed="rId25"/>
                          <a:stretch>
                            <a:fillRect/>
                          </a:stretch>
                        </pic:blipFill>
                        <pic:spPr>
                          <a:xfrm>
                            <a:off x="0" y="0"/>
                            <a:ext cx="2520315" cy="2620645"/>
                          </a:xfrm>
                          <a:prstGeom prst="rect">
                            <a:avLst/>
                          </a:prstGeom>
                          <a:noFill/>
                          <a:ln>
                            <a:noFill/>
                          </a:ln>
                        </pic:spPr>
                      </pic:pic>
                    </a:graphicData>
                  </a:graphic>
                </wp:inline>
              </w:drawing>
            </w:r>
          </w:p>
        </w:tc>
      </w:tr>
      <w:tr w14:paraId="0E1746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0" w:type="pct"/>
            <w:tcBorders>
              <w:top w:val="nil"/>
              <w:left w:val="nil"/>
              <w:bottom w:val="nil"/>
              <w:right w:val="nil"/>
            </w:tcBorders>
            <w:vAlign w:val="center"/>
          </w:tcPr>
          <w:p w14:paraId="156CD6C0">
            <w:pPr>
              <w:pStyle w:val="5"/>
              <w:keepNext w:val="0"/>
              <w:keepLines w:val="0"/>
              <w:widowControl/>
              <w:suppressLineNumbers w:val="0"/>
              <w:spacing w:before="0" w:beforeAutospacing="0" w:after="0" w:afterAutospacing="0"/>
              <w:ind w:left="0" w:leftChars="0" w:right="0" w:firstLine="0" w:firstLineChars="0"/>
              <w:jc w:val="center"/>
              <w:rPr>
                <w:rFonts w:hint="default" w:eastAsia="仿宋_GB2312"/>
                <w:lang w:val="en-US" w:eastAsia="zh-CN"/>
              </w:rPr>
            </w:pPr>
            <w:r>
              <w:rPr>
                <w:rFonts w:hint="eastAsia"/>
                <w:lang w:val="en-US" w:eastAsia="zh-CN"/>
              </w:rPr>
              <w:t>图4 钻孔布设图</w:t>
            </w:r>
          </w:p>
        </w:tc>
      </w:tr>
      <w:tr w14:paraId="4C8C95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0" w:type="pct"/>
            <w:tcBorders>
              <w:bottom w:val="single" w:color="auto" w:sz="4" w:space="0"/>
            </w:tcBorders>
            <w:vAlign w:val="center"/>
          </w:tcPr>
          <w:p w14:paraId="2E5FF726">
            <w:pPr>
              <w:keepNext w:val="0"/>
              <w:keepLines w:val="0"/>
              <w:pageBreakBefore w:val="0"/>
              <w:kinsoku/>
              <w:overflowPunct/>
              <w:topLinePunct w:val="0"/>
              <w:bidi w:val="0"/>
              <w:snapToGrid/>
              <w:ind w:left="0" w:leftChars="0" w:firstLine="0" w:firstLineChars="0"/>
              <w:jc w:val="center"/>
              <w:textAlignment w:val="auto"/>
            </w:pPr>
            <w:r>
              <w:drawing>
                <wp:inline distT="0" distB="0" distL="114300" distR="114300">
                  <wp:extent cx="2879725" cy="1604645"/>
                  <wp:effectExtent l="0" t="0" r="15875" b="1460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26"/>
                          <a:stretch>
                            <a:fillRect/>
                          </a:stretch>
                        </pic:blipFill>
                        <pic:spPr>
                          <a:xfrm>
                            <a:off x="0" y="0"/>
                            <a:ext cx="2879725" cy="1604645"/>
                          </a:xfrm>
                          <a:prstGeom prst="rect">
                            <a:avLst/>
                          </a:prstGeom>
                          <a:noFill/>
                          <a:ln>
                            <a:noFill/>
                          </a:ln>
                        </pic:spPr>
                      </pic:pic>
                    </a:graphicData>
                  </a:graphic>
                </wp:inline>
              </w:drawing>
            </w:r>
          </w:p>
          <w:p w14:paraId="55046B26">
            <w:pPr>
              <w:keepNext w:val="0"/>
              <w:keepLines w:val="0"/>
              <w:pageBreakBefore w:val="0"/>
              <w:kinsoku/>
              <w:overflowPunct/>
              <w:topLinePunct w:val="0"/>
              <w:bidi w:val="0"/>
              <w:snapToGrid/>
              <w:ind w:left="0" w:leftChars="0" w:firstLine="0" w:firstLineChars="0"/>
              <w:jc w:val="center"/>
              <w:textAlignment w:val="auto"/>
              <w:rPr>
                <w:rFonts w:hint="default"/>
                <w:lang w:val="en-US" w:eastAsia="zh-CN"/>
              </w:rPr>
            </w:pPr>
            <w:r>
              <w:drawing>
                <wp:inline distT="0" distB="0" distL="114300" distR="114300">
                  <wp:extent cx="2879725" cy="2164715"/>
                  <wp:effectExtent l="0" t="0" r="15875" b="6985"/>
                  <wp:docPr id="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2"/>
                          <pic:cNvPicPr>
                            <a:picLocks noChangeAspect="1"/>
                          </pic:cNvPicPr>
                        </pic:nvPicPr>
                        <pic:blipFill>
                          <a:blip r:embed="rId27"/>
                          <a:stretch>
                            <a:fillRect/>
                          </a:stretch>
                        </pic:blipFill>
                        <pic:spPr>
                          <a:xfrm>
                            <a:off x="0" y="0"/>
                            <a:ext cx="2879725" cy="2164715"/>
                          </a:xfrm>
                          <a:prstGeom prst="rect">
                            <a:avLst/>
                          </a:prstGeom>
                          <a:noFill/>
                          <a:ln>
                            <a:noFill/>
                          </a:ln>
                        </pic:spPr>
                      </pic:pic>
                    </a:graphicData>
                  </a:graphic>
                </wp:inline>
              </w:drawing>
            </w:r>
          </w:p>
        </w:tc>
      </w:tr>
      <w:tr w14:paraId="5D0AC3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0" w:type="pct"/>
            <w:tcBorders>
              <w:top w:val="single" w:color="auto" w:sz="4" w:space="0"/>
              <w:left w:val="nil"/>
              <w:bottom w:val="nil"/>
              <w:right w:val="nil"/>
            </w:tcBorders>
            <w:vAlign w:val="center"/>
          </w:tcPr>
          <w:p w14:paraId="5C1E6F23">
            <w:pPr>
              <w:pStyle w:val="5"/>
              <w:keepNext w:val="0"/>
              <w:keepLines w:val="0"/>
              <w:widowControl/>
              <w:suppressLineNumbers w:val="0"/>
              <w:spacing w:before="0" w:beforeAutospacing="0" w:after="0" w:afterAutospacing="0"/>
              <w:ind w:left="0" w:leftChars="0" w:right="0" w:firstLine="0" w:firstLineChars="0"/>
              <w:jc w:val="center"/>
              <w:rPr>
                <w:rFonts w:hint="default" w:ascii="仿宋_GB2312" w:hAnsi="宋体"/>
                <w:spacing w:val="0"/>
                <w:w w:val="100"/>
                <w:sz w:val="32"/>
                <w:szCs w:val="32"/>
                <w:vertAlign w:val="baseline"/>
                <w:lang w:val="en-US" w:eastAsia="zh-CN"/>
              </w:rPr>
            </w:pPr>
            <w:r>
              <w:rPr>
                <w:rFonts w:hint="eastAsia" w:ascii="仿宋_GB2312" w:hAnsi="宋体"/>
                <w:spacing w:val="0"/>
                <w:w w:val="100"/>
                <w:sz w:val="24"/>
                <w:szCs w:val="24"/>
                <w:vertAlign w:val="baseline"/>
                <w:lang w:val="en-US" w:eastAsia="zh-CN"/>
              </w:rPr>
              <w:t>来源：关于印发《广西壮族自治区地震安全性评价现场工作技术规定》的通知（桂震发〔2023〕26号）</w:t>
            </w:r>
          </w:p>
        </w:tc>
      </w:tr>
    </w:tbl>
    <w:p w14:paraId="3C07CF29">
      <w:pPr>
        <w:keepNext w:val="0"/>
        <w:keepLines w:val="0"/>
        <w:pageBreakBefore w:val="0"/>
        <w:widowControl w:val="0"/>
        <w:numPr>
          <w:ilvl w:val="0"/>
          <w:numId w:val="0"/>
        </w:numPr>
        <w:kinsoku/>
        <w:overflowPunct/>
        <w:topLinePunct w:val="0"/>
        <w:bidi w:val="0"/>
        <w:snapToGrid/>
        <w:ind w:firstLine="640" w:firstLineChars="200"/>
        <w:jc w:val="both"/>
        <w:textAlignment w:val="auto"/>
        <w:rPr>
          <w:rFonts w:hint="default" w:ascii="仿宋_GB2312" w:hAnsi="宋体"/>
          <w:color w:val="auto"/>
          <w:sz w:val="32"/>
          <w:szCs w:val="32"/>
          <w:lang w:val="en-US" w:eastAsia="zh-CN"/>
        </w:rPr>
      </w:pPr>
      <w:r>
        <w:rPr>
          <w:rFonts w:hint="eastAsia" w:ascii="仿宋_GB2312" w:hAnsi="宋体"/>
          <w:color w:val="auto"/>
          <w:sz w:val="32"/>
          <w:szCs w:val="32"/>
          <w:lang w:val="en-US" w:eastAsia="zh-CN"/>
        </w:rPr>
        <w:t>而对于</w:t>
      </w:r>
      <w:r>
        <w:rPr>
          <w:rFonts w:hint="default" w:ascii="仿宋_GB2312" w:hAnsi="宋体"/>
          <w:color w:val="auto"/>
          <w:sz w:val="32"/>
          <w:szCs w:val="32"/>
          <w:lang w:val="en-US" w:eastAsia="zh-CN"/>
        </w:rPr>
        <w:t>区域性地震安评性评价</w:t>
      </w:r>
      <w:r>
        <w:rPr>
          <w:rFonts w:hint="eastAsia" w:ascii="仿宋_GB2312" w:hAnsi="宋体"/>
          <w:color w:val="auto"/>
          <w:sz w:val="32"/>
          <w:szCs w:val="32"/>
          <w:lang w:val="en-US" w:eastAsia="zh-CN"/>
        </w:rPr>
        <w:t>，主要参考《DB/T 100  区域性地震安全性评价》的要求。</w:t>
      </w:r>
    </w:p>
    <w:tbl>
      <w:tblPr>
        <w:tblStyle w:val="7"/>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174"/>
      </w:tblGrid>
      <w:tr w14:paraId="7AEDE9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5000" w:type="pct"/>
            <w:tcBorders>
              <w:bottom w:val="single" w:color="auto" w:sz="4" w:space="0"/>
            </w:tcBorders>
            <w:vAlign w:val="center"/>
          </w:tcPr>
          <w:p w14:paraId="42A90B19">
            <w:pPr>
              <w:keepNext w:val="0"/>
              <w:keepLines w:val="0"/>
              <w:pageBreakBefore w:val="0"/>
              <w:kinsoku/>
              <w:overflowPunct/>
              <w:topLinePunct w:val="0"/>
              <w:bidi w:val="0"/>
              <w:snapToGrid/>
              <w:ind w:left="0" w:leftChars="0" w:firstLine="0" w:firstLineChars="0"/>
              <w:jc w:val="center"/>
              <w:textAlignment w:val="auto"/>
              <w:rPr>
                <w:rFonts w:hint="default"/>
                <w:lang w:val="en-US" w:eastAsia="zh-CN"/>
              </w:rPr>
            </w:pPr>
            <w:r>
              <w:drawing>
                <wp:inline distT="0" distB="0" distL="114300" distR="114300">
                  <wp:extent cx="5678805" cy="1882775"/>
                  <wp:effectExtent l="0" t="0" r="17145" b="3175"/>
                  <wp:docPr id="1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3"/>
                          <pic:cNvPicPr>
                            <a:picLocks noChangeAspect="1"/>
                          </pic:cNvPicPr>
                        </pic:nvPicPr>
                        <pic:blipFill>
                          <a:blip r:embed="rId28"/>
                          <a:stretch>
                            <a:fillRect/>
                          </a:stretch>
                        </pic:blipFill>
                        <pic:spPr>
                          <a:xfrm>
                            <a:off x="0" y="0"/>
                            <a:ext cx="5678805" cy="1882775"/>
                          </a:xfrm>
                          <a:prstGeom prst="rect">
                            <a:avLst/>
                          </a:prstGeom>
                          <a:noFill/>
                          <a:ln>
                            <a:noFill/>
                          </a:ln>
                        </pic:spPr>
                      </pic:pic>
                    </a:graphicData>
                  </a:graphic>
                </wp:inline>
              </w:drawing>
            </w:r>
          </w:p>
        </w:tc>
      </w:tr>
      <w:tr w14:paraId="1E2A54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0" w:type="pct"/>
            <w:tcBorders>
              <w:top w:val="single" w:color="auto" w:sz="4" w:space="0"/>
              <w:left w:val="nil"/>
              <w:bottom w:val="nil"/>
              <w:right w:val="nil"/>
            </w:tcBorders>
            <w:vAlign w:val="center"/>
          </w:tcPr>
          <w:p w14:paraId="1776CE24">
            <w:pPr>
              <w:pStyle w:val="5"/>
              <w:keepNext w:val="0"/>
              <w:keepLines w:val="0"/>
              <w:widowControl/>
              <w:suppressLineNumbers w:val="0"/>
              <w:spacing w:before="0" w:beforeAutospacing="0" w:after="0" w:afterAutospacing="0"/>
              <w:ind w:left="0" w:leftChars="0" w:right="0" w:firstLine="0" w:firstLineChars="0"/>
              <w:jc w:val="center"/>
              <w:rPr>
                <w:rFonts w:hint="default" w:ascii="仿宋_GB2312" w:hAnsi="宋体"/>
                <w:spacing w:val="0"/>
                <w:w w:val="100"/>
                <w:sz w:val="32"/>
                <w:szCs w:val="32"/>
                <w:vertAlign w:val="baseline"/>
                <w:lang w:val="en-US" w:eastAsia="zh-CN"/>
              </w:rPr>
            </w:pPr>
            <w:r>
              <w:rPr>
                <w:rFonts w:hint="eastAsia" w:ascii="仿宋_GB2312" w:hAnsi="宋体"/>
                <w:spacing w:val="0"/>
                <w:w w:val="100"/>
                <w:sz w:val="24"/>
                <w:szCs w:val="24"/>
                <w:vertAlign w:val="baseline"/>
                <w:lang w:val="en-US" w:eastAsia="zh-CN"/>
              </w:rPr>
              <w:t>来源：关于印发《广西壮族自治区地震安全性评价现场工作技术规定》的通知（桂震发〔2023〕26号）</w:t>
            </w:r>
          </w:p>
        </w:tc>
      </w:tr>
    </w:tbl>
    <w:p w14:paraId="6D6B0279">
      <w:pPr>
        <w:keepNext w:val="0"/>
        <w:keepLines w:val="0"/>
        <w:pageBreakBefore w:val="0"/>
        <w:widowControl w:val="0"/>
        <w:numPr>
          <w:ilvl w:val="0"/>
          <w:numId w:val="0"/>
        </w:numPr>
        <w:kinsoku/>
        <w:overflowPunct/>
        <w:topLinePunct w:val="0"/>
        <w:bidi w:val="0"/>
        <w:snapToGrid/>
        <w:ind w:firstLine="640" w:firstLineChars="200"/>
        <w:jc w:val="both"/>
        <w:textAlignment w:val="auto"/>
        <w:rPr>
          <w:rFonts w:hint="eastAsia" w:ascii="仿宋_GB2312" w:hAnsi="宋体"/>
          <w:color w:val="auto"/>
          <w:sz w:val="32"/>
          <w:szCs w:val="32"/>
          <w:lang w:val="en-US" w:eastAsia="zh-CN"/>
        </w:rPr>
      </w:pPr>
      <w:r>
        <w:rPr>
          <w:rFonts w:hint="eastAsia" w:ascii="仿宋_GB2312" w:hAnsi="宋体"/>
          <w:color w:val="auto"/>
          <w:sz w:val="32"/>
          <w:szCs w:val="32"/>
          <w:lang w:val="en-US" w:eastAsia="zh-CN"/>
        </w:rPr>
        <w:t>4.2钻探施工</w:t>
      </w:r>
    </w:p>
    <w:p w14:paraId="51EC6BF2">
      <w:pPr>
        <w:keepNext w:val="0"/>
        <w:keepLines w:val="0"/>
        <w:pageBreakBefore w:val="0"/>
        <w:widowControl w:val="0"/>
        <w:numPr>
          <w:ilvl w:val="0"/>
          <w:numId w:val="0"/>
        </w:numPr>
        <w:kinsoku/>
        <w:overflowPunct/>
        <w:topLinePunct w:val="0"/>
        <w:bidi w:val="0"/>
        <w:snapToGrid/>
        <w:ind w:firstLine="640" w:firstLineChars="200"/>
        <w:jc w:val="both"/>
        <w:textAlignment w:val="auto"/>
        <w:rPr>
          <w:rFonts w:hint="eastAsia"/>
          <w:lang w:val="en-US" w:eastAsia="zh-CN"/>
        </w:rPr>
      </w:pPr>
      <w:r>
        <w:rPr>
          <w:rFonts w:hint="eastAsia"/>
        </w:rPr>
        <w:t>回转、冲击钻探</w:t>
      </w:r>
      <w:r>
        <w:rPr>
          <w:rFonts w:hint="eastAsia"/>
          <w:lang w:val="en-US" w:eastAsia="zh-CN"/>
        </w:rPr>
        <w:t>在</w:t>
      </w:r>
      <w:r>
        <w:rPr>
          <w:rFonts w:hint="eastAsia"/>
        </w:rPr>
        <w:t>岩土工程勘察中成熟、适用范围广，能有效穿透不同地层</w:t>
      </w:r>
      <w:r>
        <w:rPr>
          <w:rFonts w:hint="eastAsia"/>
          <w:lang w:eastAsia="zh-CN"/>
        </w:rPr>
        <w:t>，</w:t>
      </w:r>
      <w:r>
        <w:rPr>
          <w:rFonts w:hint="eastAsia"/>
          <w:lang w:val="en-US" w:eastAsia="zh-CN"/>
        </w:rPr>
        <w:t>按《</w:t>
      </w:r>
      <w:r>
        <w:rPr>
          <w:rFonts w:hint="eastAsia"/>
          <w:lang w:eastAsia="zh-CN"/>
        </w:rPr>
        <w:t>GB 50021</w:t>
      </w:r>
      <w:r>
        <w:rPr>
          <w:rFonts w:hint="eastAsia"/>
          <w:lang w:val="en-US" w:eastAsia="zh-CN"/>
        </w:rPr>
        <w:t xml:space="preserve">  </w:t>
      </w:r>
      <w:r>
        <w:rPr>
          <w:rFonts w:hint="eastAsia"/>
          <w:lang w:eastAsia="zh-CN"/>
        </w:rPr>
        <w:t>岩土工程勘察规范》</w:t>
      </w:r>
      <w:r>
        <w:rPr>
          <w:rFonts w:hint="eastAsia"/>
          <w:lang w:val="en-US" w:eastAsia="zh-CN"/>
        </w:rPr>
        <w:t>规定执行</w:t>
      </w:r>
      <w:r>
        <w:rPr>
          <w:rFonts w:hint="eastAsia"/>
          <w:lang w:eastAsia="zh-CN"/>
        </w:rPr>
        <w:t>，保证钻探质量和数据可比性，为后续剪切波速测试、取芯、原位试验提供可靠条件</w:t>
      </w:r>
      <w:r>
        <w:rPr>
          <w:rFonts w:hint="eastAsia"/>
        </w:rPr>
        <w:t>。地震安全性评价需要获得场地覆盖层厚度和等效剪切波速，以划分场地类别</w:t>
      </w:r>
      <w:r>
        <w:rPr>
          <w:rFonts w:hint="eastAsia"/>
          <w:lang w:eastAsia="zh-CN"/>
        </w:rPr>
        <w:t>，</w:t>
      </w:r>
      <w:r>
        <w:rPr>
          <w:rFonts w:hint="eastAsia"/>
          <w:lang w:val="en-US" w:eastAsia="zh-CN"/>
        </w:rPr>
        <w:t>钻孔终孔深度参考《GB 17741  工程场地地震安全性评价》的要求。</w:t>
      </w:r>
    </w:p>
    <w:tbl>
      <w:tblPr>
        <w:tblStyle w:val="7"/>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9174"/>
      </w:tblGrid>
      <w:tr w14:paraId="2298788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174" w:type="dxa"/>
          </w:tcPr>
          <w:p w14:paraId="4B53D986">
            <w:pPr>
              <w:keepNext w:val="0"/>
              <w:keepLines w:val="0"/>
              <w:pageBreakBefore w:val="0"/>
              <w:widowControl w:val="0"/>
              <w:numPr>
                <w:ilvl w:val="0"/>
                <w:numId w:val="0"/>
              </w:numPr>
              <w:kinsoku/>
              <w:wordWrap/>
              <w:overflowPunct/>
              <w:topLinePunct w:val="0"/>
              <w:autoSpaceDE/>
              <w:autoSpaceDN/>
              <w:bidi w:val="0"/>
              <w:adjustRightInd/>
              <w:snapToGrid/>
              <w:jc w:val="center"/>
              <w:textAlignment w:val="auto"/>
              <w:rPr>
                <w:rFonts w:hint="default" w:ascii="仿宋_GB2312" w:hAnsi="宋体"/>
                <w:color w:val="auto"/>
                <w:sz w:val="32"/>
                <w:szCs w:val="32"/>
                <w:vertAlign w:val="baseline"/>
                <w:lang w:val="en-US" w:eastAsia="zh-CN"/>
              </w:rPr>
            </w:pPr>
            <w:r>
              <w:drawing>
                <wp:inline distT="0" distB="0" distL="114300" distR="114300">
                  <wp:extent cx="3039110" cy="2230755"/>
                  <wp:effectExtent l="0" t="0" r="8890" b="17145"/>
                  <wp:docPr id="32"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11"/>
                          <pic:cNvPicPr>
                            <a:picLocks noChangeAspect="1"/>
                          </pic:cNvPicPr>
                        </pic:nvPicPr>
                        <pic:blipFill>
                          <a:blip r:embed="rId29"/>
                          <a:stretch>
                            <a:fillRect/>
                          </a:stretch>
                        </pic:blipFill>
                        <pic:spPr>
                          <a:xfrm>
                            <a:off x="0" y="0"/>
                            <a:ext cx="3039110" cy="2230755"/>
                          </a:xfrm>
                          <a:prstGeom prst="rect">
                            <a:avLst/>
                          </a:prstGeom>
                          <a:noFill/>
                          <a:ln>
                            <a:noFill/>
                          </a:ln>
                        </pic:spPr>
                      </pic:pic>
                    </a:graphicData>
                  </a:graphic>
                </wp:inline>
              </w:drawing>
            </w:r>
          </w:p>
        </w:tc>
      </w:tr>
      <w:tr w14:paraId="0582C52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174" w:type="dxa"/>
          </w:tcPr>
          <w:p w14:paraId="365C2DBD">
            <w:pPr>
              <w:keepNext w:val="0"/>
              <w:keepLines w:val="0"/>
              <w:pageBreakBefore w:val="0"/>
              <w:widowControl w:val="0"/>
              <w:numPr>
                <w:ilvl w:val="0"/>
                <w:numId w:val="0"/>
              </w:numPr>
              <w:kinsoku/>
              <w:wordWrap/>
              <w:overflowPunct/>
              <w:topLinePunct w:val="0"/>
              <w:autoSpaceDE/>
              <w:autoSpaceDN/>
              <w:bidi w:val="0"/>
              <w:adjustRightInd/>
              <w:snapToGrid/>
              <w:jc w:val="center"/>
              <w:textAlignment w:val="auto"/>
              <w:rPr>
                <w:rFonts w:hint="default" w:ascii="仿宋_GB2312" w:hAnsi="宋体"/>
                <w:color w:val="auto"/>
                <w:sz w:val="32"/>
                <w:szCs w:val="32"/>
                <w:vertAlign w:val="baseline"/>
                <w:lang w:val="en-US" w:eastAsia="zh-CN"/>
              </w:rPr>
            </w:pPr>
            <w:r>
              <w:rPr>
                <w:rFonts w:hint="eastAsia" w:ascii="仿宋_GB2312" w:hAnsi="宋体"/>
                <w:spacing w:val="0"/>
                <w:w w:val="100"/>
                <w:sz w:val="24"/>
                <w:szCs w:val="24"/>
                <w:vertAlign w:val="baseline"/>
                <w:lang w:val="en-US" w:eastAsia="zh-CN"/>
              </w:rPr>
              <w:t>图5 现场工作照片、岩芯照片</w:t>
            </w:r>
          </w:p>
        </w:tc>
      </w:tr>
      <w:tr w14:paraId="3C424D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174" w:type="dxa"/>
            <w:tcBorders>
              <w:bottom w:val="single" w:color="auto" w:sz="4" w:space="0"/>
            </w:tcBorders>
            <w:vAlign w:val="center"/>
          </w:tcPr>
          <w:p w14:paraId="44315F30">
            <w:pPr>
              <w:keepNext w:val="0"/>
              <w:keepLines w:val="0"/>
              <w:pageBreakBefore w:val="0"/>
              <w:kinsoku/>
              <w:overflowPunct/>
              <w:topLinePunct w:val="0"/>
              <w:bidi w:val="0"/>
              <w:snapToGrid/>
              <w:ind w:left="0" w:leftChars="0" w:firstLine="0" w:firstLineChars="0"/>
              <w:jc w:val="center"/>
              <w:textAlignment w:val="auto"/>
              <w:rPr>
                <w:rFonts w:hint="default"/>
                <w:lang w:val="en-US" w:eastAsia="zh-CN"/>
              </w:rPr>
            </w:pPr>
            <w:r>
              <w:drawing>
                <wp:inline distT="0" distB="0" distL="114300" distR="114300">
                  <wp:extent cx="5685790" cy="1468120"/>
                  <wp:effectExtent l="0" t="0" r="10160" b="17780"/>
                  <wp:docPr id="1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4"/>
                          <pic:cNvPicPr>
                            <a:picLocks noChangeAspect="1"/>
                          </pic:cNvPicPr>
                        </pic:nvPicPr>
                        <pic:blipFill>
                          <a:blip r:embed="rId30"/>
                          <a:stretch>
                            <a:fillRect/>
                          </a:stretch>
                        </pic:blipFill>
                        <pic:spPr>
                          <a:xfrm>
                            <a:off x="0" y="0"/>
                            <a:ext cx="5685790" cy="1468120"/>
                          </a:xfrm>
                          <a:prstGeom prst="rect">
                            <a:avLst/>
                          </a:prstGeom>
                          <a:noFill/>
                          <a:ln>
                            <a:noFill/>
                          </a:ln>
                        </pic:spPr>
                      </pic:pic>
                    </a:graphicData>
                  </a:graphic>
                </wp:inline>
              </w:drawing>
            </w:r>
          </w:p>
        </w:tc>
      </w:tr>
      <w:tr w14:paraId="608F5D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174" w:type="dxa"/>
            <w:tcBorders>
              <w:top w:val="single" w:color="auto" w:sz="4" w:space="0"/>
              <w:left w:val="nil"/>
              <w:bottom w:val="nil"/>
              <w:right w:val="nil"/>
            </w:tcBorders>
            <w:vAlign w:val="center"/>
          </w:tcPr>
          <w:p w14:paraId="41D512F2">
            <w:pPr>
              <w:pStyle w:val="5"/>
              <w:keepNext w:val="0"/>
              <w:keepLines w:val="0"/>
              <w:widowControl/>
              <w:suppressLineNumbers w:val="0"/>
              <w:spacing w:before="0" w:beforeAutospacing="0" w:after="0" w:afterAutospacing="0"/>
              <w:ind w:left="0" w:leftChars="0" w:right="0" w:firstLine="0" w:firstLineChars="0"/>
              <w:jc w:val="center"/>
              <w:rPr>
                <w:rFonts w:hint="default" w:ascii="仿宋_GB2312" w:hAnsi="宋体"/>
                <w:spacing w:val="0"/>
                <w:w w:val="100"/>
                <w:sz w:val="32"/>
                <w:szCs w:val="32"/>
                <w:vertAlign w:val="baseline"/>
                <w:lang w:val="en-US" w:eastAsia="zh-CN"/>
              </w:rPr>
            </w:pPr>
            <w:r>
              <w:rPr>
                <w:rFonts w:hint="eastAsia" w:ascii="仿宋_GB2312" w:hAnsi="宋体"/>
                <w:spacing w:val="0"/>
                <w:w w:val="100"/>
                <w:sz w:val="24"/>
                <w:szCs w:val="24"/>
                <w:vertAlign w:val="baseline"/>
                <w:lang w:val="en-US" w:eastAsia="zh-CN"/>
              </w:rPr>
              <w:t>来源：GB 17741  工程场地地震安全性评价</w:t>
            </w:r>
          </w:p>
        </w:tc>
      </w:tr>
    </w:tbl>
    <w:p w14:paraId="540A905D">
      <w:pPr>
        <w:keepNext w:val="0"/>
        <w:keepLines w:val="0"/>
        <w:pageBreakBefore w:val="0"/>
        <w:widowControl w:val="0"/>
        <w:numPr>
          <w:ilvl w:val="0"/>
          <w:numId w:val="0"/>
        </w:numPr>
        <w:kinsoku/>
        <w:overflowPunct/>
        <w:topLinePunct w:val="0"/>
        <w:bidi w:val="0"/>
        <w:snapToGrid/>
        <w:ind w:firstLine="640" w:firstLineChars="200"/>
        <w:jc w:val="both"/>
        <w:textAlignment w:val="auto"/>
        <w:rPr>
          <w:rFonts w:hint="default" w:eastAsia="仿宋_GB2312"/>
          <w:lang w:val="en-US" w:eastAsia="zh-CN"/>
        </w:rPr>
      </w:pPr>
      <w:r>
        <w:rPr>
          <w:rFonts w:hint="eastAsia"/>
          <w:lang w:val="en-US" w:eastAsia="zh-CN"/>
        </w:rPr>
        <w:t>区域性地震安全性评价控制性钻孔深度，需结合区域地质条件、关键地层界面、场地类别差异等综合确定。实际操作中要结合场地类型与地貌条件，严格遵守相关技术细则。控制孔钻探深度的确定主要参考</w:t>
      </w:r>
      <w:r>
        <w:rPr>
          <w:rFonts w:hint="eastAsia"/>
          <w:lang w:eastAsia="zh-CN"/>
        </w:rPr>
        <w:t>《</w:t>
      </w:r>
      <w:r>
        <w:rPr>
          <w:rFonts w:hint="eastAsia"/>
        </w:rPr>
        <w:t>DB/T 100  区域性地震安全性评价</w:t>
      </w:r>
      <w:r>
        <w:rPr>
          <w:rFonts w:hint="eastAsia"/>
          <w:lang w:eastAsia="zh-CN"/>
        </w:rPr>
        <w:t>》</w:t>
      </w:r>
      <w:r>
        <w:rPr>
          <w:rFonts w:hint="eastAsia"/>
          <w:lang w:val="en-US" w:eastAsia="zh-CN"/>
        </w:rPr>
        <w:t>的要求。</w:t>
      </w:r>
    </w:p>
    <w:tbl>
      <w:tblPr>
        <w:tblStyle w:val="7"/>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174"/>
      </w:tblGrid>
      <w:tr w14:paraId="0D9230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0" w:type="pct"/>
            <w:tcBorders>
              <w:bottom w:val="single" w:color="auto" w:sz="4" w:space="0"/>
            </w:tcBorders>
            <w:vAlign w:val="center"/>
          </w:tcPr>
          <w:p w14:paraId="67680722">
            <w:pPr>
              <w:keepNext w:val="0"/>
              <w:keepLines w:val="0"/>
              <w:pageBreakBefore w:val="0"/>
              <w:kinsoku/>
              <w:overflowPunct/>
              <w:topLinePunct w:val="0"/>
              <w:bidi w:val="0"/>
              <w:snapToGrid/>
              <w:ind w:left="0" w:leftChars="0" w:firstLine="0" w:firstLineChars="0"/>
              <w:jc w:val="center"/>
              <w:textAlignment w:val="auto"/>
              <w:rPr>
                <w:rFonts w:hint="default"/>
                <w:lang w:val="en-US" w:eastAsia="zh-CN"/>
              </w:rPr>
            </w:pPr>
            <w:r>
              <w:drawing>
                <wp:inline distT="0" distB="0" distL="114300" distR="114300">
                  <wp:extent cx="5678805" cy="1494790"/>
                  <wp:effectExtent l="0" t="0" r="17145" b="10160"/>
                  <wp:docPr id="2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5"/>
                          <pic:cNvPicPr>
                            <a:picLocks noChangeAspect="1"/>
                          </pic:cNvPicPr>
                        </pic:nvPicPr>
                        <pic:blipFill>
                          <a:blip r:embed="rId31"/>
                          <a:stretch>
                            <a:fillRect/>
                          </a:stretch>
                        </pic:blipFill>
                        <pic:spPr>
                          <a:xfrm>
                            <a:off x="0" y="0"/>
                            <a:ext cx="5678805" cy="1494790"/>
                          </a:xfrm>
                          <a:prstGeom prst="rect">
                            <a:avLst/>
                          </a:prstGeom>
                          <a:noFill/>
                          <a:ln>
                            <a:noFill/>
                          </a:ln>
                        </pic:spPr>
                      </pic:pic>
                    </a:graphicData>
                  </a:graphic>
                </wp:inline>
              </w:drawing>
            </w:r>
          </w:p>
        </w:tc>
      </w:tr>
      <w:tr w14:paraId="1E2990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0" w:type="pct"/>
            <w:tcBorders>
              <w:top w:val="single" w:color="auto" w:sz="4" w:space="0"/>
              <w:left w:val="nil"/>
              <w:bottom w:val="nil"/>
              <w:right w:val="nil"/>
            </w:tcBorders>
            <w:vAlign w:val="center"/>
          </w:tcPr>
          <w:p w14:paraId="0CA57173">
            <w:pPr>
              <w:pStyle w:val="5"/>
              <w:keepNext w:val="0"/>
              <w:keepLines w:val="0"/>
              <w:widowControl/>
              <w:suppressLineNumbers w:val="0"/>
              <w:spacing w:before="0" w:beforeAutospacing="0" w:after="0" w:afterAutospacing="0"/>
              <w:ind w:left="0" w:leftChars="0" w:right="0" w:firstLine="0" w:firstLineChars="0"/>
              <w:jc w:val="center"/>
              <w:rPr>
                <w:rFonts w:hint="default" w:ascii="仿宋_GB2312" w:hAnsi="宋体"/>
                <w:spacing w:val="0"/>
                <w:w w:val="100"/>
                <w:sz w:val="32"/>
                <w:szCs w:val="32"/>
                <w:vertAlign w:val="baseline"/>
                <w:lang w:val="en-US" w:eastAsia="zh-CN"/>
              </w:rPr>
            </w:pPr>
            <w:r>
              <w:rPr>
                <w:rFonts w:hint="eastAsia" w:ascii="仿宋_GB2312" w:hAnsi="宋体"/>
                <w:spacing w:val="0"/>
                <w:w w:val="100"/>
                <w:sz w:val="24"/>
                <w:szCs w:val="24"/>
                <w:vertAlign w:val="baseline"/>
                <w:lang w:val="en-US" w:eastAsia="zh-CN"/>
              </w:rPr>
              <w:t>来源：DB/T 100  区域性地震安全性评价</w:t>
            </w:r>
          </w:p>
        </w:tc>
      </w:tr>
    </w:tbl>
    <w:p w14:paraId="3576AB76">
      <w:pPr>
        <w:keepNext w:val="0"/>
        <w:keepLines w:val="0"/>
        <w:pageBreakBefore w:val="0"/>
        <w:widowControl w:val="0"/>
        <w:numPr>
          <w:ilvl w:val="0"/>
          <w:numId w:val="0"/>
        </w:numPr>
        <w:kinsoku/>
        <w:overflowPunct/>
        <w:topLinePunct w:val="0"/>
        <w:bidi w:val="0"/>
        <w:snapToGrid/>
        <w:ind w:firstLine="640" w:firstLineChars="200"/>
        <w:jc w:val="both"/>
        <w:textAlignment w:val="auto"/>
      </w:pPr>
      <w:r>
        <w:rPr>
          <w:rFonts w:hint="eastAsia"/>
        </w:rPr>
        <w:t>连续取芯能准确鉴别地层分层、岩土性状、软弱夹层、滑动带等关键地质界面。泥浆护壁可防止砂土、碎石层孔壁坍塌，确保钻孔稳定和取芯率。</w:t>
      </w:r>
    </w:p>
    <w:p w14:paraId="2481F1CC">
      <w:pPr>
        <w:keepNext w:val="0"/>
        <w:keepLines w:val="0"/>
        <w:pageBreakBefore w:val="0"/>
        <w:widowControl w:val="0"/>
        <w:numPr>
          <w:ilvl w:val="0"/>
          <w:numId w:val="0"/>
        </w:numPr>
        <w:kinsoku/>
        <w:overflowPunct/>
        <w:topLinePunct w:val="0"/>
        <w:bidi w:val="0"/>
        <w:snapToGrid/>
        <w:ind w:firstLine="640" w:firstLineChars="200"/>
        <w:jc w:val="both"/>
        <w:textAlignment w:val="auto"/>
        <w:rPr>
          <w:rFonts w:hint="eastAsia" w:eastAsia="仿宋_GB2312"/>
          <w:lang w:eastAsia="zh-CN"/>
        </w:rPr>
      </w:pPr>
      <w:r>
        <w:rPr>
          <w:rFonts w:hint="eastAsia"/>
        </w:rPr>
        <w:t>在区域性地震安全性评价控制性钻孔的钻探施工中，应采用适应不同地层的回转岩土芯钻探法，并严格控制非连续取芯的回次进尺，确保岩土分层深度测量精度；同时，应根据岩体完整程度满足相应的岩芯采取率标准，对于滑动带、软弱夹层等重点部位采用双层岩土芯管连续取芯；</w:t>
      </w:r>
      <w:r>
        <w:rPr>
          <w:rFonts w:hint="eastAsia"/>
          <w:lang w:val="en-US" w:eastAsia="zh-CN"/>
        </w:rPr>
        <w:t>并</w:t>
      </w:r>
      <w:r>
        <w:rPr>
          <w:rFonts w:hint="eastAsia"/>
        </w:rPr>
        <w:t>按钻进回次逐段客观、及时地填写野外记录</w:t>
      </w:r>
      <w:r>
        <w:rPr>
          <w:rFonts w:hint="eastAsia"/>
          <w:lang w:eastAsia="zh-CN"/>
        </w:rPr>
        <w:t>。</w:t>
      </w:r>
    </w:p>
    <w:tbl>
      <w:tblPr>
        <w:tblStyle w:val="7"/>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174"/>
      </w:tblGrid>
      <w:tr w14:paraId="5E2835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0" w:type="pct"/>
            <w:tcBorders>
              <w:bottom w:val="single" w:color="auto" w:sz="4" w:space="0"/>
            </w:tcBorders>
            <w:vAlign w:val="center"/>
          </w:tcPr>
          <w:p w14:paraId="106BE266">
            <w:pPr>
              <w:keepNext w:val="0"/>
              <w:keepLines w:val="0"/>
              <w:pageBreakBefore w:val="0"/>
              <w:kinsoku/>
              <w:overflowPunct/>
              <w:topLinePunct w:val="0"/>
              <w:bidi w:val="0"/>
              <w:snapToGrid/>
              <w:ind w:left="0" w:leftChars="0" w:firstLine="0" w:firstLineChars="0"/>
              <w:jc w:val="center"/>
              <w:textAlignment w:val="auto"/>
              <w:rPr>
                <w:rFonts w:hint="default"/>
                <w:lang w:val="en-US" w:eastAsia="zh-CN"/>
              </w:rPr>
            </w:pPr>
            <w:r>
              <w:drawing>
                <wp:inline distT="0" distB="0" distL="114300" distR="114300">
                  <wp:extent cx="5678805" cy="1122045"/>
                  <wp:effectExtent l="0" t="0" r="17145" b="1905"/>
                  <wp:docPr id="2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6"/>
                          <pic:cNvPicPr>
                            <a:picLocks noChangeAspect="1"/>
                          </pic:cNvPicPr>
                        </pic:nvPicPr>
                        <pic:blipFill>
                          <a:blip r:embed="rId32"/>
                          <a:stretch>
                            <a:fillRect/>
                          </a:stretch>
                        </pic:blipFill>
                        <pic:spPr>
                          <a:xfrm>
                            <a:off x="0" y="0"/>
                            <a:ext cx="5678805" cy="1122045"/>
                          </a:xfrm>
                          <a:prstGeom prst="rect">
                            <a:avLst/>
                          </a:prstGeom>
                          <a:noFill/>
                          <a:ln>
                            <a:noFill/>
                          </a:ln>
                        </pic:spPr>
                      </pic:pic>
                    </a:graphicData>
                  </a:graphic>
                </wp:inline>
              </w:drawing>
            </w:r>
          </w:p>
        </w:tc>
      </w:tr>
      <w:tr w14:paraId="1B9F4A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0" w:type="pct"/>
            <w:tcBorders>
              <w:top w:val="single" w:color="auto" w:sz="4" w:space="0"/>
              <w:left w:val="nil"/>
              <w:bottom w:val="nil"/>
              <w:right w:val="nil"/>
            </w:tcBorders>
            <w:vAlign w:val="center"/>
          </w:tcPr>
          <w:p w14:paraId="2989446A">
            <w:pPr>
              <w:pStyle w:val="5"/>
              <w:keepNext w:val="0"/>
              <w:keepLines w:val="0"/>
              <w:widowControl/>
              <w:suppressLineNumbers w:val="0"/>
              <w:spacing w:before="0" w:beforeAutospacing="0" w:after="0" w:afterAutospacing="0"/>
              <w:ind w:left="0" w:leftChars="0" w:right="0" w:firstLine="0" w:firstLineChars="0"/>
              <w:jc w:val="center"/>
              <w:rPr>
                <w:rFonts w:hint="default" w:ascii="仿宋_GB2312" w:hAnsi="宋体"/>
                <w:spacing w:val="0"/>
                <w:w w:val="100"/>
                <w:sz w:val="32"/>
                <w:szCs w:val="32"/>
                <w:vertAlign w:val="baseline"/>
                <w:lang w:val="en-US" w:eastAsia="zh-CN"/>
              </w:rPr>
            </w:pPr>
            <w:r>
              <w:rPr>
                <w:rFonts w:hint="eastAsia" w:ascii="仿宋_GB2312" w:hAnsi="宋体"/>
                <w:spacing w:val="0"/>
                <w:w w:val="100"/>
                <w:sz w:val="24"/>
                <w:szCs w:val="24"/>
                <w:vertAlign w:val="baseline"/>
                <w:lang w:val="en-US" w:eastAsia="zh-CN"/>
              </w:rPr>
              <w:t>来源：DB/T 100  区域性地震安全性评价</w:t>
            </w:r>
          </w:p>
        </w:tc>
      </w:tr>
    </w:tbl>
    <w:p w14:paraId="19DE1B74">
      <w:pPr>
        <w:keepNext w:val="0"/>
        <w:keepLines w:val="0"/>
        <w:pageBreakBefore w:val="0"/>
        <w:widowControl w:val="0"/>
        <w:numPr>
          <w:ilvl w:val="0"/>
          <w:numId w:val="0"/>
        </w:numPr>
        <w:kinsoku/>
        <w:overflowPunct/>
        <w:topLinePunct w:val="0"/>
        <w:bidi w:val="0"/>
        <w:snapToGrid/>
        <w:ind w:firstLine="640" w:firstLineChars="200"/>
        <w:jc w:val="both"/>
        <w:textAlignment w:val="auto"/>
        <w:rPr>
          <w:rFonts w:hint="default" w:ascii="仿宋_GB2312" w:hAnsi="宋体"/>
          <w:color w:val="auto"/>
          <w:sz w:val="32"/>
          <w:szCs w:val="32"/>
          <w:lang w:val="en-US" w:eastAsia="zh-CN"/>
        </w:rPr>
      </w:pPr>
      <w:r>
        <w:rPr>
          <w:rFonts w:hint="eastAsia" w:ascii="仿宋_GB2312" w:hAnsi="宋体"/>
          <w:color w:val="auto"/>
          <w:sz w:val="32"/>
          <w:szCs w:val="32"/>
          <w:lang w:val="en-US" w:eastAsia="zh-CN"/>
        </w:rPr>
        <w:t>4.3地质编录</w:t>
      </w:r>
    </w:p>
    <w:p w14:paraId="121F57D7">
      <w:pPr>
        <w:keepNext w:val="0"/>
        <w:keepLines w:val="0"/>
        <w:pageBreakBefore w:val="0"/>
        <w:widowControl w:val="0"/>
        <w:numPr>
          <w:ilvl w:val="0"/>
          <w:numId w:val="0"/>
        </w:numPr>
        <w:kinsoku/>
        <w:overflowPunct/>
        <w:topLinePunct w:val="0"/>
        <w:bidi w:val="0"/>
        <w:snapToGrid/>
        <w:ind w:firstLine="640" w:firstLineChars="200"/>
        <w:jc w:val="both"/>
        <w:textAlignment w:val="auto"/>
        <w:rPr>
          <w:rFonts w:hint="default" w:ascii="仿宋_GB2312" w:hAnsi="宋体"/>
          <w:color w:val="auto"/>
          <w:sz w:val="32"/>
          <w:szCs w:val="32"/>
          <w:lang w:val="en-US" w:eastAsia="zh-CN"/>
        </w:rPr>
      </w:pPr>
      <w:r>
        <w:rPr>
          <w:rFonts w:hint="default" w:ascii="仿宋_GB2312" w:hAnsi="宋体"/>
          <w:color w:val="auto"/>
          <w:sz w:val="32"/>
          <w:szCs w:val="32"/>
          <w:lang w:val="en-US" w:eastAsia="zh-CN"/>
        </w:rPr>
        <w:t>通过要求编录信息详细、准确、真实，并借助现场校核与室内实验消除岩土定性的主观误差，同时</w:t>
      </w:r>
      <w:r>
        <w:rPr>
          <w:rFonts w:hint="eastAsia" w:ascii="仿宋_GB2312" w:hAnsi="宋体"/>
          <w:color w:val="auto"/>
          <w:sz w:val="32"/>
          <w:szCs w:val="32"/>
          <w:lang w:val="en-US" w:eastAsia="zh-CN"/>
        </w:rPr>
        <w:t>规范</w:t>
      </w:r>
      <w:r>
        <w:rPr>
          <w:rFonts w:hint="default" w:ascii="仿宋_GB2312" w:hAnsi="宋体"/>
          <w:color w:val="auto"/>
          <w:sz w:val="32"/>
          <w:szCs w:val="32"/>
          <w:lang w:val="en-US" w:eastAsia="zh-CN"/>
        </w:rPr>
        <w:t>摆放、拍照（含人员与设备）</w:t>
      </w:r>
      <w:r>
        <w:rPr>
          <w:rFonts w:hint="eastAsia" w:ascii="仿宋_GB2312" w:hAnsi="宋体"/>
          <w:color w:val="auto"/>
          <w:sz w:val="32"/>
          <w:szCs w:val="32"/>
          <w:lang w:val="en-US" w:eastAsia="zh-CN"/>
        </w:rPr>
        <w:t>要求，</w:t>
      </w:r>
      <w:r>
        <w:rPr>
          <w:rFonts w:hint="default" w:ascii="仿宋_GB2312" w:hAnsi="宋体"/>
          <w:color w:val="auto"/>
          <w:sz w:val="32"/>
          <w:szCs w:val="32"/>
          <w:lang w:val="en-US" w:eastAsia="zh-CN"/>
        </w:rPr>
        <w:t>建立可追溯的物证档案，保障地震安全性评价所依据的原始资料的客观性、可复核性，确保工程选址与抗震设计的科学可靠。</w:t>
      </w:r>
    </w:p>
    <w:p w14:paraId="71ACB8CD">
      <w:pPr>
        <w:keepNext w:val="0"/>
        <w:keepLines w:val="0"/>
        <w:pageBreakBefore w:val="0"/>
        <w:widowControl w:val="0"/>
        <w:numPr>
          <w:ilvl w:val="0"/>
          <w:numId w:val="0"/>
        </w:numPr>
        <w:kinsoku/>
        <w:overflowPunct/>
        <w:topLinePunct w:val="0"/>
        <w:bidi w:val="0"/>
        <w:snapToGrid/>
        <w:ind w:firstLine="640" w:firstLineChars="200"/>
        <w:jc w:val="both"/>
        <w:textAlignment w:val="auto"/>
        <w:rPr>
          <w:rFonts w:hint="default" w:ascii="仿宋_GB2312" w:hAnsi="宋体"/>
          <w:color w:val="auto"/>
          <w:sz w:val="32"/>
          <w:szCs w:val="32"/>
          <w:lang w:val="en-US" w:eastAsia="zh-CN"/>
        </w:rPr>
      </w:pPr>
      <w:r>
        <w:rPr>
          <w:rFonts w:hint="default" w:ascii="仿宋_GB2312" w:hAnsi="宋体"/>
          <w:color w:val="auto"/>
          <w:sz w:val="32"/>
          <w:szCs w:val="32"/>
          <w:lang w:val="en-US" w:eastAsia="zh-CN"/>
        </w:rPr>
        <w:t>（</w:t>
      </w:r>
      <w:r>
        <w:rPr>
          <w:rFonts w:hint="eastAsia" w:ascii="仿宋_GB2312" w:hAnsi="宋体"/>
          <w:color w:val="auto"/>
          <w:sz w:val="32"/>
          <w:szCs w:val="32"/>
          <w:lang w:val="en-US" w:eastAsia="zh-CN"/>
        </w:rPr>
        <w:t>五</w:t>
      </w:r>
      <w:r>
        <w:rPr>
          <w:rFonts w:hint="default" w:ascii="仿宋_GB2312" w:hAnsi="宋体"/>
          <w:color w:val="auto"/>
          <w:sz w:val="32"/>
          <w:szCs w:val="32"/>
          <w:lang w:val="en-US" w:eastAsia="zh-CN"/>
        </w:rPr>
        <w:t>）</w:t>
      </w:r>
      <w:r>
        <w:rPr>
          <w:rFonts w:hint="eastAsia" w:ascii="仿宋_GB2312" w:hAnsi="宋体"/>
          <w:color w:val="auto"/>
          <w:sz w:val="32"/>
          <w:szCs w:val="32"/>
          <w:lang w:val="en-US" w:eastAsia="zh-CN"/>
        </w:rPr>
        <w:t>土样采集及测试</w:t>
      </w:r>
    </w:p>
    <w:p w14:paraId="77FDF28A">
      <w:pPr>
        <w:keepNext w:val="0"/>
        <w:keepLines w:val="0"/>
        <w:pageBreakBefore w:val="0"/>
        <w:widowControl w:val="0"/>
        <w:numPr>
          <w:ilvl w:val="0"/>
          <w:numId w:val="0"/>
        </w:numPr>
        <w:kinsoku/>
        <w:overflowPunct/>
        <w:topLinePunct w:val="0"/>
        <w:bidi w:val="0"/>
        <w:snapToGrid/>
        <w:ind w:firstLine="640" w:firstLineChars="200"/>
        <w:jc w:val="both"/>
        <w:textAlignment w:val="auto"/>
        <w:rPr>
          <w:rFonts w:hint="eastAsia" w:ascii="仿宋_GB2312" w:hAnsi="宋体"/>
          <w:color w:val="auto"/>
          <w:sz w:val="32"/>
          <w:szCs w:val="32"/>
          <w:lang w:val="en-US" w:eastAsia="zh-CN"/>
        </w:rPr>
      </w:pPr>
      <w:r>
        <w:rPr>
          <w:rFonts w:hint="eastAsia" w:ascii="仿宋_GB2312" w:hAnsi="宋体"/>
          <w:color w:val="auto"/>
          <w:sz w:val="32"/>
          <w:szCs w:val="32"/>
          <w:lang w:val="en-US" w:eastAsia="zh-CN"/>
        </w:rPr>
        <w:t>5.1原状土样采集</w:t>
      </w:r>
    </w:p>
    <w:p w14:paraId="00576C36">
      <w:pPr>
        <w:keepNext w:val="0"/>
        <w:keepLines w:val="0"/>
        <w:pageBreakBefore w:val="0"/>
        <w:widowControl w:val="0"/>
        <w:numPr>
          <w:ilvl w:val="0"/>
          <w:numId w:val="0"/>
        </w:numPr>
        <w:kinsoku/>
        <w:overflowPunct/>
        <w:topLinePunct w:val="0"/>
        <w:bidi w:val="0"/>
        <w:snapToGrid/>
        <w:ind w:firstLine="640" w:firstLineChars="200"/>
        <w:jc w:val="both"/>
        <w:textAlignment w:val="auto"/>
        <w:rPr>
          <w:rFonts w:hint="default" w:ascii="仿宋_GB2312" w:hAnsi="宋体"/>
          <w:color w:val="auto"/>
          <w:sz w:val="32"/>
          <w:szCs w:val="32"/>
          <w:lang w:val="en-US" w:eastAsia="zh-CN"/>
        </w:rPr>
      </w:pPr>
      <w:r>
        <w:rPr>
          <w:rFonts w:hint="eastAsia" w:ascii="仿宋_GB2312" w:hAnsi="宋体"/>
          <w:color w:val="auto"/>
          <w:sz w:val="32"/>
          <w:szCs w:val="32"/>
          <w:lang w:val="en-US" w:eastAsia="zh-CN"/>
        </w:rPr>
        <w:t>分层岩土试样采集，需依据场地勘察钻孔地质分层，按不同土层、岩层及关键特殊层位，分层采取原状土样、扰动土样及岩石试样，同步记录层位深度、岩土性状、地下水条件等信息。原状土样采集试样采取、钻孔数量等要求，参考《GB 17741  工程场地地震安全性评价》《DB/T 100  区域性地震安全性评价》规定的要求。</w:t>
      </w:r>
    </w:p>
    <w:tbl>
      <w:tblPr>
        <w:tblStyle w:val="7"/>
        <w:tblW w:w="5000"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9174"/>
      </w:tblGrid>
      <w:tr w14:paraId="3F6EE0C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571" w:hRule="atLeast"/>
        </w:trPr>
        <w:tc>
          <w:tcPr>
            <w:tcW w:w="5000" w:type="pct"/>
            <w:vAlign w:val="center"/>
          </w:tcPr>
          <w:p w14:paraId="518A0FD3">
            <w:pPr>
              <w:keepNext w:val="0"/>
              <w:keepLines w:val="0"/>
              <w:pageBreakBefore w:val="0"/>
              <w:kinsoku/>
              <w:overflowPunct/>
              <w:topLinePunct w:val="0"/>
              <w:bidi w:val="0"/>
              <w:snapToGrid/>
              <w:ind w:left="0" w:leftChars="0" w:firstLine="0" w:firstLineChars="0"/>
              <w:jc w:val="center"/>
              <w:textAlignment w:val="auto"/>
              <w:rPr>
                <w:rFonts w:hint="default"/>
                <w:lang w:val="en-US" w:eastAsia="zh-CN"/>
              </w:rPr>
            </w:pPr>
            <w:r>
              <w:drawing>
                <wp:inline distT="0" distB="0" distL="114300" distR="114300">
                  <wp:extent cx="5682615" cy="1517015"/>
                  <wp:effectExtent l="9525" t="9525" r="22860" b="16510"/>
                  <wp:docPr id="25"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7"/>
                          <pic:cNvPicPr>
                            <a:picLocks noChangeAspect="1"/>
                          </pic:cNvPicPr>
                        </pic:nvPicPr>
                        <pic:blipFill>
                          <a:blip r:embed="rId33"/>
                          <a:stretch>
                            <a:fillRect/>
                          </a:stretch>
                        </pic:blipFill>
                        <pic:spPr>
                          <a:xfrm>
                            <a:off x="0" y="0"/>
                            <a:ext cx="5682615" cy="1517015"/>
                          </a:xfrm>
                          <a:prstGeom prst="rect">
                            <a:avLst/>
                          </a:prstGeom>
                          <a:noFill/>
                          <a:ln>
                            <a:solidFill>
                              <a:schemeClr val="tx1"/>
                            </a:solidFill>
                          </a:ln>
                        </pic:spPr>
                      </pic:pic>
                    </a:graphicData>
                  </a:graphic>
                </wp:inline>
              </w:drawing>
            </w:r>
          </w:p>
        </w:tc>
      </w:tr>
      <w:tr w14:paraId="2209DB2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000" w:type="pct"/>
            <w:vAlign w:val="center"/>
          </w:tcPr>
          <w:p w14:paraId="2EE0F272">
            <w:pPr>
              <w:pStyle w:val="5"/>
              <w:keepNext w:val="0"/>
              <w:keepLines w:val="0"/>
              <w:widowControl/>
              <w:suppressLineNumbers w:val="0"/>
              <w:spacing w:before="0" w:beforeAutospacing="0" w:after="0" w:afterAutospacing="0"/>
              <w:ind w:left="0" w:leftChars="0" w:right="0" w:firstLine="0" w:firstLineChars="0"/>
              <w:jc w:val="center"/>
              <w:rPr>
                <w:rFonts w:hint="default" w:ascii="仿宋_GB2312" w:hAnsi="宋体"/>
                <w:spacing w:val="0"/>
                <w:w w:val="100"/>
                <w:sz w:val="32"/>
                <w:szCs w:val="32"/>
                <w:vertAlign w:val="baseline"/>
                <w:lang w:val="en-US" w:eastAsia="zh-CN"/>
              </w:rPr>
            </w:pPr>
            <w:r>
              <w:rPr>
                <w:rFonts w:hint="eastAsia" w:ascii="仿宋_GB2312" w:hAnsi="宋体"/>
                <w:spacing w:val="0"/>
                <w:w w:val="100"/>
                <w:sz w:val="24"/>
                <w:szCs w:val="24"/>
                <w:vertAlign w:val="baseline"/>
                <w:lang w:val="en-US" w:eastAsia="zh-CN"/>
              </w:rPr>
              <w:t>来源：GB 17741  工程场地地震安全性评价</w:t>
            </w:r>
          </w:p>
        </w:tc>
      </w:tr>
      <w:tr w14:paraId="468C74E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560" w:hRule="atLeast"/>
        </w:trPr>
        <w:tc>
          <w:tcPr>
            <w:tcW w:w="5000" w:type="pct"/>
            <w:vAlign w:val="center"/>
          </w:tcPr>
          <w:p w14:paraId="0E24F0A3">
            <w:pPr>
              <w:keepNext w:val="0"/>
              <w:keepLines w:val="0"/>
              <w:pageBreakBefore w:val="0"/>
              <w:kinsoku/>
              <w:overflowPunct/>
              <w:topLinePunct w:val="0"/>
              <w:bidi w:val="0"/>
              <w:snapToGrid/>
              <w:ind w:left="0" w:leftChars="0" w:firstLine="0" w:firstLineChars="0"/>
              <w:jc w:val="center"/>
              <w:textAlignment w:val="auto"/>
              <w:rPr>
                <w:rFonts w:hint="default"/>
                <w:lang w:val="en-US" w:eastAsia="zh-CN"/>
              </w:rPr>
            </w:pPr>
            <w:r>
              <w:drawing>
                <wp:inline distT="0" distB="0" distL="114300" distR="114300">
                  <wp:extent cx="5678805" cy="1508125"/>
                  <wp:effectExtent l="9525" t="9525" r="26670" b="25400"/>
                  <wp:docPr id="26"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8"/>
                          <pic:cNvPicPr>
                            <a:picLocks noChangeAspect="1"/>
                          </pic:cNvPicPr>
                        </pic:nvPicPr>
                        <pic:blipFill>
                          <a:blip r:embed="rId34"/>
                          <a:stretch>
                            <a:fillRect/>
                          </a:stretch>
                        </pic:blipFill>
                        <pic:spPr>
                          <a:xfrm>
                            <a:off x="0" y="0"/>
                            <a:ext cx="5678805" cy="1508125"/>
                          </a:xfrm>
                          <a:prstGeom prst="rect">
                            <a:avLst/>
                          </a:prstGeom>
                          <a:noFill/>
                          <a:ln>
                            <a:solidFill>
                              <a:schemeClr val="tx1"/>
                            </a:solidFill>
                          </a:ln>
                        </pic:spPr>
                      </pic:pic>
                    </a:graphicData>
                  </a:graphic>
                </wp:inline>
              </w:drawing>
            </w:r>
          </w:p>
        </w:tc>
      </w:tr>
      <w:tr w14:paraId="170C8DC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000" w:type="pct"/>
            <w:vAlign w:val="center"/>
          </w:tcPr>
          <w:p w14:paraId="23C11FD0">
            <w:pPr>
              <w:pStyle w:val="5"/>
              <w:keepNext w:val="0"/>
              <w:keepLines w:val="0"/>
              <w:widowControl/>
              <w:suppressLineNumbers w:val="0"/>
              <w:spacing w:before="0" w:beforeAutospacing="0" w:after="0" w:afterAutospacing="0"/>
              <w:ind w:left="0" w:leftChars="0" w:right="0" w:firstLine="0" w:firstLineChars="0"/>
              <w:jc w:val="center"/>
              <w:rPr>
                <w:rFonts w:hint="default" w:ascii="仿宋_GB2312" w:hAnsi="宋体"/>
                <w:spacing w:val="0"/>
                <w:w w:val="100"/>
                <w:sz w:val="32"/>
                <w:szCs w:val="32"/>
                <w:vertAlign w:val="baseline"/>
                <w:lang w:val="en-US" w:eastAsia="zh-CN"/>
              </w:rPr>
            </w:pPr>
            <w:r>
              <w:rPr>
                <w:rFonts w:hint="eastAsia" w:ascii="仿宋_GB2312" w:hAnsi="宋体"/>
                <w:spacing w:val="0"/>
                <w:w w:val="100"/>
                <w:sz w:val="24"/>
                <w:szCs w:val="24"/>
                <w:vertAlign w:val="baseline"/>
                <w:lang w:val="en-US" w:eastAsia="zh-CN"/>
              </w:rPr>
              <w:t>来源：DB/T 100  区域性地震安全性评价</w:t>
            </w:r>
          </w:p>
        </w:tc>
      </w:tr>
    </w:tbl>
    <w:p w14:paraId="4F820277">
      <w:pPr>
        <w:keepNext w:val="0"/>
        <w:keepLines w:val="0"/>
        <w:pageBreakBefore w:val="0"/>
        <w:widowControl w:val="0"/>
        <w:numPr>
          <w:ilvl w:val="0"/>
          <w:numId w:val="0"/>
        </w:numPr>
        <w:kinsoku/>
        <w:overflowPunct/>
        <w:topLinePunct w:val="0"/>
        <w:bidi w:val="0"/>
        <w:snapToGrid/>
        <w:ind w:firstLine="640" w:firstLineChars="200"/>
        <w:jc w:val="both"/>
        <w:textAlignment w:val="auto"/>
        <w:rPr>
          <w:rFonts w:hint="eastAsia" w:ascii="仿宋_GB2312" w:hAnsi="宋体"/>
          <w:color w:val="auto"/>
          <w:sz w:val="32"/>
          <w:szCs w:val="32"/>
          <w:lang w:val="en-US" w:eastAsia="zh-CN"/>
        </w:rPr>
      </w:pPr>
      <w:r>
        <w:rPr>
          <w:rFonts w:hint="eastAsia" w:ascii="仿宋_GB2312" w:hAnsi="宋体"/>
          <w:color w:val="auto"/>
          <w:sz w:val="32"/>
          <w:szCs w:val="32"/>
          <w:lang w:val="en-US" w:eastAsia="zh-CN"/>
        </w:rPr>
        <w:t>5.2原位测试</w:t>
      </w:r>
    </w:p>
    <w:p w14:paraId="6919DA8F">
      <w:pPr>
        <w:keepNext w:val="0"/>
        <w:keepLines w:val="0"/>
        <w:pageBreakBefore w:val="0"/>
        <w:widowControl w:val="0"/>
        <w:numPr>
          <w:ilvl w:val="0"/>
          <w:numId w:val="0"/>
        </w:numPr>
        <w:kinsoku/>
        <w:overflowPunct/>
        <w:topLinePunct w:val="0"/>
        <w:bidi w:val="0"/>
        <w:snapToGrid/>
        <w:ind w:firstLine="640" w:firstLineChars="200"/>
        <w:jc w:val="both"/>
        <w:textAlignment w:val="auto"/>
        <w:rPr>
          <w:rFonts w:hint="default" w:ascii="仿宋_GB2312" w:hAnsi="宋体"/>
          <w:color w:val="auto"/>
          <w:sz w:val="32"/>
          <w:szCs w:val="32"/>
          <w:lang w:val="en-US" w:eastAsia="zh-CN"/>
        </w:rPr>
      </w:pPr>
      <w:r>
        <w:rPr>
          <w:rFonts w:hint="eastAsia" w:ascii="仿宋_GB2312" w:hAnsi="宋体"/>
          <w:color w:val="auto"/>
          <w:sz w:val="32"/>
          <w:szCs w:val="32"/>
          <w:lang w:val="en-US" w:eastAsia="zh-CN"/>
        </w:rPr>
        <w:t>《</w:t>
      </w:r>
      <w:r>
        <w:rPr>
          <w:rFonts w:hint="default" w:ascii="仿宋_GB2312" w:hAnsi="宋体"/>
          <w:color w:val="auto"/>
          <w:sz w:val="32"/>
          <w:szCs w:val="32"/>
          <w:lang w:val="en-US" w:eastAsia="zh-CN"/>
        </w:rPr>
        <w:t>GB 50021</w:t>
      </w:r>
      <w:r>
        <w:rPr>
          <w:rFonts w:hint="eastAsia" w:ascii="仿宋_GB2312" w:hAnsi="宋体"/>
          <w:color w:val="auto"/>
          <w:sz w:val="32"/>
          <w:szCs w:val="32"/>
          <w:lang w:val="en-US" w:eastAsia="zh-CN"/>
        </w:rPr>
        <w:t xml:space="preserve">  </w:t>
      </w:r>
      <w:r>
        <w:rPr>
          <w:rFonts w:hint="default" w:ascii="仿宋_GB2312" w:hAnsi="宋体"/>
          <w:color w:val="auto"/>
          <w:sz w:val="32"/>
          <w:szCs w:val="32"/>
          <w:lang w:val="en-US" w:eastAsia="zh-CN"/>
        </w:rPr>
        <w:t>岩土工程勘察规范</w:t>
      </w:r>
      <w:r>
        <w:rPr>
          <w:rFonts w:hint="eastAsia" w:ascii="仿宋_GB2312" w:hAnsi="宋体"/>
          <w:color w:val="auto"/>
          <w:sz w:val="32"/>
          <w:szCs w:val="32"/>
          <w:lang w:val="en-US" w:eastAsia="zh-CN"/>
        </w:rPr>
        <w:t>》规定，</w:t>
      </w:r>
      <w:r>
        <w:rPr>
          <w:rFonts w:hint="default" w:ascii="仿宋_GB2312" w:hAnsi="宋体"/>
          <w:color w:val="auto"/>
          <w:sz w:val="32"/>
          <w:szCs w:val="32"/>
          <w:lang w:val="en-US" w:eastAsia="zh-CN"/>
        </w:rPr>
        <w:t>凡判别为可液化的场地、应按现行国家标准《建筑抗震设计规范》(GB 50011)的规定确定其液化指数和液化等级。勘察报告除应阐明可液化的土层、各孔的液化指数外，尚应根据各孔液化指数综合确定场地液化等级。</w:t>
      </w:r>
    </w:p>
    <w:tbl>
      <w:tblPr>
        <w:tblStyle w:val="7"/>
        <w:tblW w:w="5000"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9174"/>
      </w:tblGrid>
      <w:tr w14:paraId="7C227CF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185" w:hRule="atLeast"/>
        </w:trPr>
        <w:tc>
          <w:tcPr>
            <w:tcW w:w="5000" w:type="pct"/>
            <w:vAlign w:val="center"/>
          </w:tcPr>
          <w:p w14:paraId="7BE52848">
            <w:pPr>
              <w:keepNext w:val="0"/>
              <w:keepLines w:val="0"/>
              <w:pageBreakBefore w:val="0"/>
              <w:kinsoku/>
              <w:overflowPunct/>
              <w:topLinePunct w:val="0"/>
              <w:bidi w:val="0"/>
              <w:snapToGrid/>
              <w:ind w:left="0" w:leftChars="0" w:firstLine="0" w:firstLineChars="0"/>
              <w:jc w:val="center"/>
              <w:textAlignment w:val="auto"/>
              <w:rPr>
                <w:rFonts w:hint="default"/>
                <w:lang w:val="en-US" w:eastAsia="zh-CN"/>
              </w:rPr>
            </w:pPr>
            <w:r>
              <w:drawing>
                <wp:inline distT="0" distB="0" distL="114300" distR="114300">
                  <wp:extent cx="5679440" cy="1143000"/>
                  <wp:effectExtent l="9525" t="9525" r="26035" b="9525"/>
                  <wp:docPr id="2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9"/>
                          <pic:cNvPicPr>
                            <a:picLocks noChangeAspect="1"/>
                          </pic:cNvPicPr>
                        </pic:nvPicPr>
                        <pic:blipFill>
                          <a:blip r:embed="rId35"/>
                          <a:stretch>
                            <a:fillRect/>
                          </a:stretch>
                        </pic:blipFill>
                        <pic:spPr>
                          <a:xfrm>
                            <a:off x="0" y="0"/>
                            <a:ext cx="5679440" cy="1143000"/>
                          </a:xfrm>
                          <a:prstGeom prst="rect">
                            <a:avLst/>
                          </a:prstGeom>
                          <a:noFill/>
                          <a:ln>
                            <a:solidFill>
                              <a:schemeClr val="tx1"/>
                            </a:solidFill>
                          </a:ln>
                        </pic:spPr>
                      </pic:pic>
                    </a:graphicData>
                  </a:graphic>
                </wp:inline>
              </w:drawing>
            </w:r>
          </w:p>
        </w:tc>
      </w:tr>
      <w:tr w14:paraId="3FCB746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000" w:type="pct"/>
            <w:vAlign w:val="center"/>
          </w:tcPr>
          <w:p w14:paraId="19899C27">
            <w:pPr>
              <w:pStyle w:val="5"/>
              <w:keepNext w:val="0"/>
              <w:keepLines w:val="0"/>
              <w:widowControl/>
              <w:suppressLineNumbers w:val="0"/>
              <w:spacing w:before="0" w:beforeAutospacing="0" w:after="0" w:afterAutospacing="0"/>
              <w:ind w:left="0" w:leftChars="0" w:right="0" w:firstLine="0" w:firstLineChars="0"/>
              <w:jc w:val="center"/>
              <w:rPr>
                <w:rFonts w:hint="default" w:ascii="仿宋_GB2312" w:hAnsi="宋体"/>
                <w:spacing w:val="0"/>
                <w:w w:val="100"/>
                <w:sz w:val="32"/>
                <w:szCs w:val="32"/>
                <w:vertAlign w:val="baseline"/>
                <w:lang w:val="en-US" w:eastAsia="zh-CN"/>
              </w:rPr>
            </w:pPr>
            <w:r>
              <w:rPr>
                <w:rFonts w:hint="eastAsia" w:ascii="仿宋_GB2312" w:hAnsi="宋体"/>
                <w:spacing w:val="0"/>
                <w:w w:val="100"/>
                <w:sz w:val="24"/>
                <w:szCs w:val="24"/>
                <w:vertAlign w:val="baseline"/>
                <w:lang w:val="en-US" w:eastAsia="zh-CN"/>
              </w:rPr>
              <w:t>来源：GB 17741  工程场地地震安全性评价</w:t>
            </w:r>
          </w:p>
        </w:tc>
      </w:tr>
      <w:tr w14:paraId="4E1E616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000" w:type="pct"/>
            <w:vAlign w:val="center"/>
          </w:tcPr>
          <w:p w14:paraId="74ECAA87">
            <w:pPr>
              <w:pStyle w:val="5"/>
              <w:keepNext w:val="0"/>
              <w:keepLines w:val="0"/>
              <w:widowControl/>
              <w:suppressLineNumbers w:val="0"/>
              <w:spacing w:before="0" w:beforeAutospacing="0" w:after="0" w:afterAutospacing="0"/>
              <w:ind w:left="0" w:leftChars="0" w:right="0" w:firstLine="0" w:firstLineChars="0"/>
              <w:jc w:val="center"/>
              <w:rPr>
                <w:rFonts w:hint="eastAsia" w:ascii="仿宋_GB2312" w:hAnsi="宋体"/>
                <w:spacing w:val="0"/>
                <w:w w:val="100"/>
                <w:sz w:val="24"/>
                <w:szCs w:val="24"/>
                <w:vertAlign w:val="baseline"/>
                <w:lang w:val="en-US" w:eastAsia="zh-CN"/>
              </w:rPr>
            </w:pPr>
            <w:r>
              <w:drawing>
                <wp:inline distT="0" distB="0" distL="114300" distR="114300">
                  <wp:extent cx="2879725" cy="1762125"/>
                  <wp:effectExtent l="0" t="0" r="15875" b="9525"/>
                  <wp:docPr id="35"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13"/>
                          <pic:cNvPicPr>
                            <a:picLocks noChangeAspect="1"/>
                          </pic:cNvPicPr>
                        </pic:nvPicPr>
                        <pic:blipFill>
                          <a:blip r:embed="rId36"/>
                          <a:stretch>
                            <a:fillRect/>
                          </a:stretch>
                        </pic:blipFill>
                        <pic:spPr>
                          <a:xfrm>
                            <a:off x="0" y="0"/>
                            <a:ext cx="2879725" cy="1762125"/>
                          </a:xfrm>
                          <a:prstGeom prst="rect">
                            <a:avLst/>
                          </a:prstGeom>
                          <a:noFill/>
                          <a:ln>
                            <a:noFill/>
                          </a:ln>
                        </pic:spPr>
                      </pic:pic>
                    </a:graphicData>
                  </a:graphic>
                </wp:inline>
              </w:drawing>
            </w:r>
          </w:p>
        </w:tc>
      </w:tr>
      <w:tr w14:paraId="15831B5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000" w:type="pct"/>
            <w:vAlign w:val="center"/>
          </w:tcPr>
          <w:p w14:paraId="0F5B642D">
            <w:pPr>
              <w:pStyle w:val="5"/>
              <w:keepNext w:val="0"/>
              <w:keepLines w:val="0"/>
              <w:widowControl/>
              <w:suppressLineNumbers w:val="0"/>
              <w:spacing w:before="0" w:beforeAutospacing="0" w:after="0" w:afterAutospacing="0"/>
              <w:ind w:left="0" w:leftChars="0" w:right="0" w:firstLine="0" w:firstLineChars="0"/>
              <w:jc w:val="center"/>
              <w:rPr>
                <w:rFonts w:hint="default" w:ascii="仿宋_GB2312" w:hAnsi="宋体"/>
                <w:spacing w:val="0"/>
                <w:w w:val="100"/>
                <w:sz w:val="24"/>
                <w:szCs w:val="24"/>
                <w:vertAlign w:val="baseline"/>
                <w:lang w:val="en-US" w:eastAsia="zh-CN"/>
              </w:rPr>
            </w:pPr>
            <w:r>
              <w:rPr>
                <w:rFonts w:hint="eastAsia" w:ascii="仿宋_GB2312" w:hAnsi="宋体"/>
                <w:spacing w:val="0"/>
                <w:w w:val="100"/>
                <w:sz w:val="24"/>
                <w:szCs w:val="24"/>
                <w:vertAlign w:val="baseline"/>
                <w:lang w:val="en-US" w:eastAsia="zh-CN"/>
              </w:rPr>
              <w:t>图 工程地质剖面图</w:t>
            </w:r>
          </w:p>
        </w:tc>
      </w:tr>
    </w:tbl>
    <w:p w14:paraId="5516CA31">
      <w:pPr>
        <w:keepNext w:val="0"/>
        <w:keepLines w:val="0"/>
        <w:pageBreakBefore w:val="0"/>
        <w:kinsoku/>
        <w:overflowPunct/>
        <w:topLinePunct w:val="0"/>
        <w:autoSpaceDE w:val="0"/>
        <w:autoSpaceDN w:val="0"/>
        <w:bidi w:val="0"/>
        <w:adjustRightInd w:val="0"/>
        <w:snapToGrid/>
        <w:spacing w:line="560" w:lineRule="exact"/>
        <w:ind w:left="0" w:firstLine="640" w:firstLineChars="200"/>
        <w:jc w:val="left"/>
        <w:textAlignment w:val="auto"/>
        <w:rPr>
          <w:rFonts w:hint="eastAsia" w:ascii="仿宋_GB2312" w:hAnsi="宋体"/>
          <w:color w:val="auto"/>
          <w:sz w:val="32"/>
          <w:szCs w:val="32"/>
          <w:lang w:val="en-US" w:eastAsia="zh-CN"/>
        </w:rPr>
      </w:pPr>
      <w:r>
        <w:rPr>
          <w:rFonts w:hint="default" w:ascii="仿宋_GB2312" w:hAnsi="宋体"/>
          <w:color w:val="auto"/>
          <w:sz w:val="32"/>
          <w:szCs w:val="32"/>
          <w:lang w:val="en-US" w:eastAsia="zh-CN"/>
        </w:rPr>
        <w:t>（</w:t>
      </w:r>
      <w:r>
        <w:rPr>
          <w:rFonts w:hint="eastAsia" w:ascii="仿宋_GB2312" w:hAnsi="宋体"/>
          <w:color w:val="auto"/>
          <w:sz w:val="32"/>
          <w:szCs w:val="32"/>
          <w:lang w:val="en-US" w:eastAsia="zh-CN"/>
        </w:rPr>
        <w:t>六</w:t>
      </w:r>
      <w:r>
        <w:rPr>
          <w:rFonts w:hint="default" w:ascii="仿宋_GB2312" w:hAnsi="宋体"/>
          <w:color w:val="auto"/>
          <w:sz w:val="32"/>
          <w:szCs w:val="32"/>
          <w:lang w:val="en-US" w:eastAsia="zh-CN"/>
        </w:rPr>
        <w:t>）</w:t>
      </w:r>
      <w:r>
        <w:rPr>
          <w:rFonts w:hint="eastAsia" w:ascii="仿宋_GB2312" w:hAnsi="宋体"/>
          <w:color w:val="auto"/>
          <w:sz w:val="32"/>
          <w:szCs w:val="32"/>
          <w:lang w:val="en-US" w:eastAsia="zh-CN"/>
        </w:rPr>
        <w:t>波速测试</w:t>
      </w:r>
    </w:p>
    <w:p w14:paraId="6D07DA21">
      <w:pPr>
        <w:keepNext w:val="0"/>
        <w:keepLines w:val="0"/>
        <w:pageBreakBefore w:val="0"/>
        <w:kinsoku/>
        <w:overflowPunct/>
        <w:topLinePunct w:val="0"/>
        <w:autoSpaceDE w:val="0"/>
        <w:autoSpaceDN w:val="0"/>
        <w:bidi w:val="0"/>
        <w:adjustRightInd w:val="0"/>
        <w:snapToGrid/>
        <w:spacing w:line="560" w:lineRule="exact"/>
        <w:ind w:left="0" w:firstLine="640" w:firstLineChars="200"/>
        <w:jc w:val="left"/>
        <w:textAlignment w:val="auto"/>
        <w:rPr>
          <w:rFonts w:hint="default" w:ascii="仿宋_GB2312" w:hAnsi="宋体"/>
          <w:color w:val="auto"/>
          <w:sz w:val="32"/>
          <w:szCs w:val="32"/>
          <w:lang w:val="en-US" w:eastAsia="zh-CN"/>
        </w:rPr>
      </w:pPr>
      <w:r>
        <w:rPr>
          <w:rFonts w:hint="eastAsia" w:ascii="仿宋_GB2312" w:hAnsi="宋体"/>
          <w:color w:val="auto"/>
          <w:sz w:val="32"/>
          <w:szCs w:val="32"/>
          <w:lang w:val="en-US" w:eastAsia="zh-CN"/>
        </w:rPr>
        <w:t>《GB 17741  工程场地地震安全性评价》规定，钻孔岩土层波速测试按GB 50021波速测试规定，选用单孔法或跨孔法，测定钻孔岩土体波速。波速测试要求主要主要参考《GB 50021  岩土工程勘察规范》《DB/T 100  区域性地震安全性评价》的内容。</w:t>
      </w:r>
    </w:p>
    <w:tbl>
      <w:tblPr>
        <w:tblStyle w:val="7"/>
        <w:tblW w:w="5000"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9174"/>
      </w:tblGrid>
      <w:tr w14:paraId="741E184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874" w:hRule="atLeast"/>
        </w:trPr>
        <w:tc>
          <w:tcPr>
            <w:tcW w:w="5000" w:type="pct"/>
            <w:vAlign w:val="center"/>
          </w:tcPr>
          <w:p w14:paraId="07459130">
            <w:pPr>
              <w:keepNext w:val="0"/>
              <w:keepLines w:val="0"/>
              <w:pageBreakBefore w:val="0"/>
              <w:kinsoku/>
              <w:overflowPunct/>
              <w:topLinePunct w:val="0"/>
              <w:bidi w:val="0"/>
              <w:snapToGrid/>
              <w:ind w:left="0" w:leftChars="0" w:firstLine="0" w:firstLineChars="0"/>
              <w:jc w:val="center"/>
              <w:textAlignment w:val="auto"/>
              <w:rPr>
                <w:rFonts w:hint="default"/>
                <w:lang w:val="en-US" w:eastAsia="zh-CN"/>
              </w:rPr>
            </w:pPr>
            <w:r>
              <w:drawing>
                <wp:inline distT="0" distB="0" distL="114300" distR="114300">
                  <wp:extent cx="3599815" cy="944245"/>
                  <wp:effectExtent l="0" t="0" r="635" b="8255"/>
                  <wp:docPr id="33"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11"/>
                          <pic:cNvPicPr>
                            <a:picLocks noChangeAspect="1"/>
                          </pic:cNvPicPr>
                        </pic:nvPicPr>
                        <pic:blipFill>
                          <a:blip r:embed="rId37"/>
                          <a:stretch>
                            <a:fillRect/>
                          </a:stretch>
                        </pic:blipFill>
                        <pic:spPr>
                          <a:xfrm>
                            <a:off x="0" y="0"/>
                            <a:ext cx="3599815" cy="944245"/>
                          </a:xfrm>
                          <a:prstGeom prst="rect">
                            <a:avLst/>
                          </a:prstGeom>
                          <a:noFill/>
                          <a:ln>
                            <a:noFill/>
                          </a:ln>
                        </pic:spPr>
                      </pic:pic>
                    </a:graphicData>
                  </a:graphic>
                </wp:inline>
              </w:drawing>
            </w:r>
          </w:p>
        </w:tc>
      </w:tr>
      <w:tr w14:paraId="0163DFF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5000" w:type="pct"/>
            <w:vAlign w:val="center"/>
          </w:tcPr>
          <w:p w14:paraId="3FB80A62">
            <w:pPr>
              <w:pStyle w:val="5"/>
              <w:keepNext w:val="0"/>
              <w:keepLines w:val="0"/>
              <w:widowControl/>
              <w:suppressLineNumbers w:val="0"/>
              <w:spacing w:before="0" w:beforeAutospacing="0" w:after="0" w:afterAutospacing="0"/>
              <w:ind w:left="0" w:leftChars="0" w:right="0" w:firstLine="0" w:firstLineChars="0"/>
              <w:jc w:val="center"/>
              <w:rPr>
                <w:rFonts w:hint="default" w:ascii="仿宋_GB2312" w:hAnsi="宋体"/>
                <w:spacing w:val="0"/>
                <w:w w:val="100"/>
                <w:sz w:val="32"/>
                <w:szCs w:val="32"/>
                <w:vertAlign w:val="baseline"/>
                <w:lang w:val="en-US" w:eastAsia="zh-CN"/>
              </w:rPr>
            </w:pPr>
            <w:r>
              <w:rPr>
                <w:rFonts w:hint="eastAsia" w:ascii="仿宋_GB2312" w:hAnsi="宋体"/>
                <w:spacing w:val="0"/>
                <w:w w:val="100"/>
                <w:sz w:val="24"/>
                <w:szCs w:val="24"/>
                <w:vertAlign w:val="baseline"/>
                <w:lang w:val="en-US" w:eastAsia="zh-CN"/>
              </w:rPr>
              <w:t>来源：GB 50021  岩土工程勘察规范</w:t>
            </w:r>
          </w:p>
        </w:tc>
      </w:tr>
      <w:tr w14:paraId="01476F9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000" w:type="pct"/>
            <w:vAlign w:val="center"/>
          </w:tcPr>
          <w:p w14:paraId="16AF5F09">
            <w:pPr>
              <w:pStyle w:val="5"/>
              <w:keepNext w:val="0"/>
              <w:keepLines w:val="0"/>
              <w:widowControl/>
              <w:suppressLineNumbers w:val="0"/>
              <w:spacing w:before="0" w:beforeAutospacing="0" w:after="0" w:afterAutospacing="0"/>
              <w:ind w:left="0" w:leftChars="0" w:right="0" w:firstLine="0" w:firstLineChars="0"/>
              <w:jc w:val="center"/>
              <w:rPr>
                <w:rFonts w:hint="eastAsia" w:ascii="仿宋_GB2312" w:hAnsi="宋体"/>
                <w:spacing w:val="0"/>
                <w:w w:val="100"/>
                <w:sz w:val="24"/>
                <w:szCs w:val="24"/>
                <w:vertAlign w:val="baseline"/>
                <w:lang w:val="en-US" w:eastAsia="zh-CN"/>
              </w:rPr>
            </w:pPr>
            <w:r>
              <w:drawing>
                <wp:inline distT="0" distB="0" distL="114300" distR="114300">
                  <wp:extent cx="3599815" cy="2146935"/>
                  <wp:effectExtent l="0" t="0" r="635" b="5715"/>
                  <wp:docPr id="3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10"/>
                          <pic:cNvPicPr>
                            <a:picLocks noChangeAspect="1"/>
                          </pic:cNvPicPr>
                        </pic:nvPicPr>
                        <pic:blipFill>
                          <a:blip r:embed="rId38"/>
                          <a:stretch>
                            <a:fillRect/>
                          </a:stretch>
                        </pic:blipFill>
                        <pic:spPr>
                          <a:xfrm>
                            <a:off x="0" y="0"/>
                            <a:ext cx="3599815" cy="2146935"/>
                          </a:xfrm>
                          <a:prstGeom prst="rect">
                            <a:avLst/>
                          </a:prstGeom>
                          <a:noFill/>
                          <a:ln>
                            <a:noFill/>
                          </a:ln>
                        </pic:spPr>
                      </pic:pic>
                    </a:graphicData>
                  </a:graphic>
                </wp:inline>
              </w:drawing>
            </w:r>
          </w:p>
        </w:tc>
      </w:tr>
      <w:tr w14:paraId="4B86CBA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000" w:type="pct"/>
            <w:vAlign w:val="center"/>
          </w:tcPr>
          <w:p w14:paraId="1C77954A">
            <w:pPr>
              <w:pStyle w:val="5"/>
              <w:keepNext w:val="0"/>
              <w:keepLines w:val="0"/>
              <w:widowControl/>
              <w:suppressLineNumbers w:val="0"/>
              <w:spacing w:before="0" w:beforeAutospacing="0" w:after="0" w:afterAutospacing="0"/>
              <w:ind w:left="0" w:leftChars="0" w:right="0" w:firstLine="0" w:firstLineChars="0"/>
              <w:jc w:val="center"/>
              <w:rPr>
                <w:rFonts w:hint="default" w:ascii="仿宋_GB2312" w:hAnsi="宋体"/>
                <w:spacing w:val="0"/>
                <w:w w:val="100"/>
                <w:sz w:val="24"/>
                <w:szCs w:val="24"/>
                <w:vertAlign w:val="baseline"/>
                <w:lang w:val="en-US" w:eastAsia="zh-CN"/>
              </w:rPr>
            </w:pPr>
            <w:r>
              <w:rPr>
                <w:rFonts w:hint="eastAsia" w:ascii="仿宋_GB2312" w:hAnsi="宋体"/>
                <w:spacing w:val="0"/>
                <w:w w:val="100"/>
                <w:sz w:val="24"/>
                <w:szCs w:val="24"/>
                <w:vertAlign w:val="baseline"/>
                <w:lang w:val="en-US" w:eastAsia="zh-CN"/>
              </w:rPr>
              <w:t>图6 单孔波速测试--原始数据表</w:t>
            </w:r>
          </w:p>
        </w:tc>
      </w:tr>
    </w:tbl>
    <w:p w14:paraId="64FFFE86">
      <w:pPr>
        <w:keepNext w:val="0"/>
        <w:keepLines w:val="0"/>
        <w:pageBreakBefore w:val="0"/>
        <w:kinsoku/>
        <w:overflowPunct/>
        <w:topLinePunct w:val="0"/>
        <w:autoSpaceDE w:val="0"/>
        <w:autoSpaceDN w:val="0"/>
        <w:bidi w:val="0"/>
        <w:adjustRightInd w:val="0"/>
        <w:snapToGrid/>
        <w:spacing w:line="560" w:lineRule="exact"/>
        <w:ind w:left="0" w:firstLine="640" w:firstLineChars="200"/>
        <w:jc w:val="left"/>
        <w:textAlignment w:val="auto"/>
        <w:rPr>
          <w:rFonts w:hint="eastAsia" w:ascii="仿宋_GB2312" w:hAnsi="宋体"/>
          <w:color w:val="auto"/>
          <w:sz w:val="32"/>
          <w:szCs w:val="32"/>
          <w:lang w:val="en-US" w:eastAsia="zh-CN"/>
        </w:rPr>
      </w:pPr>
      <w:r>
        <w:rPr>
          <w:rFonts w:hint="default" w:ascii="仿宋_GB2312" w:hAnsi="宋体"/>
          <w:color w:val="auto"/>
          <w:sz w:val="32"/>
          <w:szCs w:val="32"/>
          <w:lang w:val="en-US" w:eastAsia="zh-CN"/>
        </w:rPr>
        <w:t>（</w:t>
      </w:r>
      <w:r>
        <w:rPr>
          <w:rFonts w:hint="eastAsia" w:ascii="仿宋_GB2312" w:hAnsi="宋体"/>
          <w:color w:val="auto"/>
          <w:sz w:val="32"/>
          <w:szCs w:val="32"/>
          <w:lang w:val="en-US" w:eastAsia="zh-CN"/>
        </w:rPr>
        <w:t>七</w:t>
      </w:r>
      <w:r>
        <w:rPr>
          <w:rFonts w:hint="default" w:ascii="仿宋_GB2312" w:hAnsi="宋体"/>
          <w:color w:val="auto"/>
          <w:sz w:val="32"/>
          <w:szCs w:val="32"/>
          <w:lang w:val="en-US" w:eastAsia="zh-CN"/>
        </w:rPr>
        <w:t>）</w:t>
      </w:r>
      <w:r>
        <w:rPr>
          <w:rFonts w:hint="eastAsia" w:ascii="仿宋_GB2312" w:hAnsi="宋体"/>
          <w:color w:val="auto"/>
          <w:sz w:val="32"/>
          <w:szCs w:val="32"/>
          <w:lang w:val="en-US" w:eastAsia="zh-CN"/>
        </w:rPr>
        <w:t>地震地质灾害调查</w:t>
      </w:r>
    </w:p>
    <w:p w14:paraId="1AEFA994">
      <w:pPr>
        <w:keepNext w:val="0"/>
        <w:keepLines w:val="0"/>
        <w:pageBreakBefore w:val="0"/>
        <w:kinsoku/>
        <w:overflowPunct/>
        <w:topLinePunct w:val="0"/>
        <w:autoSpaceDE w:val="0"/>
        <w:autoSpaceDN w:val="0"/>
        <w:bidi w:val="0"/>
        <w:adjustRightInd w:val="0"/>
        <w:snapToGrid/>
        <w:spacing w:line="560" w:lineRule="exact"/>
        <w:ind w:left="0" w:firstLine="640" w:firstLineChars="200"/>
        <w:jc w:val="left"/>
        <w:textAlignment w:val="auto"/>
        <w:rPr>
          <w:rFonts w:hint="eastAsia" w:ascii="仿宋_GB2312" w:hAnsi="宋体"/>
          <w:color w:val="auto"/>
          <w:sz w:val="32"/>
          <w:szCs w:val="32"/>
          <w:lang w:val="en-US" w:eastAsia="zh-CN"/>
        </w:rPr>
      </w:pPr>
      <w:r>
        <w:rPr>
          <w:rFonts w:hint="eastAsia" w:ascii="仿宋_GB2312" w:hAnsi="宋体"/>
          <w:color w:val="auto"/>
          <w:sz w:val="32"/>
          <w:szCs w:val="32"/>
          <w:lang w:val="en-US" w:eastAsia="zh-CN"/>
        </w:rPr>
        <w:t>7.1调查范围</w:t>
      </w:r>
    </w:p>
    <w:p w14:paraId="06BCF9C2">
      <w:pPr>
        <w:keepNext w:val="0"/>
        <w:keepLines w:val="0"/>
        <w:pageBreakBefore w:val="0"/>
        <w:kinsoku/>
        <w:overflowPunct/>
        <w:topLinePunct w:val="0"/>
        <w:autoSpaceDE w:val="0"/>
        <w:autoSpaceDN w:val="0"/>
        <w:bidi w:val="0"/>
        <w:adjustRightInd w:val="0"/>
        <w:snapToGrid/>
        <w:spacing w:line="560" w:lineRule="exact"/>
        <w:ind w:left="0" w:firstLine="640" w:firstLineChars="200"/>
        <w:jc w:val="left"/>
        <w:textAlignment w:val="auto"/>
        <w:rPr>
          <w:rFonts w:hint="eastAsia" w:ascii="仿宋_GB2312" w:hAnsi="宋体"/>
          <w:color w:val="auto"/>
          <w:sz w:val="32"/>
          <w:szCs w:val="32"/>
          <w:lang w:val="en-US" w:eastAsia="zh-CN"/>
        </w:rPr>
      </w:pPr>
      <w:r>
        <w:rPr>
          <w:rFonts w:hint="eastAsia" w:ascii="仿宋_GB2312" w:hAnsi="宋体"/>
          <w:color w:val="auto"/>
          <w:sz w:val="32"/>
          <w:szCs w:val="32"/>
          <w:lang w:val="en-US" w:eastAsia="zh-CN"/>
        </w:rPr>
        <w:t>在高、中山地区，为预防山区河流上游一定范围内，在强震条件下触发大型崩塌、滑坡，形成“滑坡—堵江—溃坝”链式灾害，从而威胁到下游的工程场地，将调查范围扩大到以场址区为基础的1级分水岭。而其他非高、中山地区，调查范围则限制在场地外延至500m。</w:t>
      </w:r>
    </w:p>
    <w:p w14:paraId="2E975B34">
      <w:pPr>
        <w:keepNext w:val="0"/>
        <w:keepLines w:val="0"/>
        <w:pageBreakBefore w:val="0"/>
        <w:kinsoku/>
        <w:overflowPunct/>
        <w:topLinePunct w:val="0"/>
        <w:autoSpaceDE w:val="0"/>
        <w:autoSpaceDN w:val="0"/>
        <w:bidi w:val="0"/>
        <w:adjustRightInd w:val="0"/>
        <w:snapToGrid/>
        <w:spacing w:line="560" w:lineRule="exact"/>
        <w:ind w:left="0" w:firstLine="640" w:firstLineChars="200"/>
        <w:jc w:val="left"/>
        <w:textAlignment w:val="auto"/>
        <w:rPr>
          <w:rFonts w:hint="default" w:ascii="仿宋_GB2312" w:hAnsi="宋体"/>
          <w:color w:val="auto"/>
          <w:sz w:val="32"/>
          <w:szCs w:val="32"/>
          <w:lang w:val="en-US" w:eastAsia="zh-CN"/>
        </w:rPr>
      </w:pPr>
      <w:r>
        <w:rPr>
          <w:rFonts w:hint="eastAsia" w:ascii="仿宋_GB2312" w:hAnsi="宋体"/>
          <w:color w:val="auto"/>
          <w:sz w:val="32"/>
          <w:szCs w:val="32"/>
          <w:lang w:val="en-US" w:eastAsia="zh-CN"/>
        </w:rPr>
        <w:t>7.2调查内容</w:t>
      </w:r>
    </w:p>
    <w:p w14:paraId="7E23922C">
      <w:pPr>
        <w:keepNext w:val="0"/>
        <w:keepLines w:val="0"/>
        <w:pageBreakBefore w:val="0"/>
        <w:kinsoku/>
        <w:overflowPunct/>
        <w:topLinePunct w:val="0"/>
        <w:autoSpaceDE w:val="0"/>
        <w:autoSpaceDN w:val="0"/>
        <w:bidi w:val="0"/>
        <w:adjustRightInd w:val="0"/>
        <w:snapToGrid/>
        <w:spacing w:line="560" w:lineRule="exact"/>
        <w:ind w:left="0" w:firstLine="640" w:firstLineChars="200"/>
        <w:jc w:val="left"/>
        <w:textAlignment w:val="auto"/>
        <w:rPr>
          <w:rFonts w:hint="default" w:ascii="仿宋_GB2312" w:hAnsi="宋体"/>
          <w:color w:val="auto"/>
          <w:sz w:val="32"/>
          <w:szCs w:val="32"/>
          <w:lang w:val="en-US" w:eastAsia="zh-CN"/>
        </w:rPr>
      </w:pPr>
      <w:r>
        <w:rPr>
          <w:rFonts w:hint="default" w:ascii="仿宋_GB2312" w:hAnsi="宋体"/>
          <w:color w:val="auto"/>
          <w:sz w:val="32"/>
          <w:szCs w:val="32"/>
          <w:lang w:val="en-US" w:eastAsia="zh-CN"/>
        </w:rPr>
        <w:t>Ⅰ级、Ⅱ级和区域性地震安全性评价项目的场地调查，应获取高分辨率（≤1m）的场地影像数据，优先采用无人机航拍，通过高分辨率遥感技术手段，保障场地内断层活动性鉴定、工程地质条件调查等工作的精度和可靠性。断层错动调查</w:t>
      </w:r>
      <w:r>
        <w:rPr>
          <w:rFonts w:hint="eastAsia" w:ascii="仿宋_GB2312" w:hAnsi="宋体"/>
          <w:color w:val="auto"/>
          <w:sz w:val="32"/>
          <w:szCs w:val="32"/>
          <w:lang w:val="en-US" w:eastAsia="zh-CN"/>
        </w:rPr>
        <w:t>内容按照《GB 17741  工程场地地震安全性评价》要求。</w:t>
      </w:r>
    </w:p>
    <w:tbl>
      <w:tblPr>
        <w:tblStyle w:val="7"/>
        <w:tblW w:w="5000"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9174"/>
      </w:tblGrid>
      <w:tr w14:paraId="03A6949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185" w:hRule="atLeast"/>
        </w:trPr>
        <w:tc>
          <w:tcPr>
            <w:tcW w:w="5000" w:type="pct"/>
            <w:vAlign w:val="center"/>
          </w:tcPr>
          <w:p w14:paraId="23CDE06B">
            <w:pPr>
              <w:keepNext w:val="0"/>
              <w:keepLines w:val="0"/>
              <w:pageBreakBefore w:val="0"/>
              <w:kinsoku/>
              <w:overflowPunct/>
              <w:topLinePunct w:val="0"/>
              <w:bidi w:val="0"/>
              <w:snapToGrid/>
              <w:ind w:left="0" w:leftChars="0" w:firstLine="0" w:firstLineChars="0"/>
              <w:jc w:val="center"/>
              <w:textAlignment w:val="auto"/>
              <w:rPr>
                <w:rFonts w:hint="default"/>
                <w:lang w:val="en-US" w:eastAsia="zh-CN"/>
              </w:rPr>
            </w:pPr>
            <w:r>
              <w:drawing>
                <wp:inline distT="0" distB="0" distL="114300" distR="114300">
                  <wp:extent cx="5681980" cy="1179195"/>
                  <wp:effectExtent l="9525" t="9525" r="23495" b="11430"/>
                  <wp:docPr id="39"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14"/>
                          <pic:cNvPicPr>
                            <a:picLocks noChangeAspect="1"/>
                          </pic:cNvPicPr>
                        </pic:nvPicPr>
                        <pic:blipFill>
                          <a:blip r:embed="rId39"/>
                          <a:stretch>
                            <a:fillRect/>
                          </a:stretch>
                        </pic:blipFill>
                        <pic:spPr>
                          <a:xfrm>
                            <a:off x="0" y="0"/>
                            <a:ext cx="5681980" cy="1179195"/>
                          </a:xfrm>
                          <a:prstGeom prst="rect">
                            <a:avLst/>
                          </a:prstGeom>
                          <a:noFill/>
                          <a:ln>
                            <a:solidFill>
                              <a:schemeClr val="tx1"/>
                            </a:solidFill>
                          </a:ln>
                        </pic:spPr>
                      </pic:pic>
                    </a:graphicData>
                  </a:graphic>
                </wp:inline>
              </w:drawing>
            </w:r>
          </w:p>
        </w:tc>
      </w:tr>
      <w:tr w14:paraId="5AA31A5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000" w:type="pct"/>
            <w:vAlign w:val="center"/>
          </w:tcPr>
          <w:p w14:paraId="7212A4C3">
            <w:pPr>
              <w:pStyle w:val="5"/>
              <w:keepNext w:val="0"/>
              <w:keepLines w:val="0"/>
              <w:widowControl/>
              <w:suppressLineNumbers w:val="0"/>
              <w:spacing w:before="0" w:beforeAutospacing="0" w:after="0" w:afterAutospacing="0"/>
              <w:ind w:left="0" w:leftChars="0" w:right="0" w:firstLine="0" w:firstLineChars="0"/>
              <w:jc w:val="center"/>
              <w:rPr>
                <w:rFonts w:hint="default" w:ascii="仿宋_GB2312" w:hAnsi="宋体"/>
                <w:spacing w:val="0"/>
                <w:w w:val="100"/>
                <w:sz w:val="32"/>
                <w:szCs w:val="32"/>
                <w:vertAlign w:val="baseline"/>
                <w:lang w:val="en-US" w:eastAsia="zh-CN"/>
              </w:rPr>
            </w:pPr>
            <w:r>
              <w:rPr>
                <w:rFonts w:hint="eastAsia" w:ascii="仿宋_GB2312" w:hAnsi="宋体"/>
                <w:spacing w:val="0"/>
                <w:w w:val="100"/>
                <w:sz w:val="24"/>
                <w:szCs w:val="24"/>
                <w:vertAlign w:val="baseline"/>
                <w:lang w:val="en-US" w:eastAsia="zh-CN"/>
              </w:rPr>
              <w:t>来源：GB 17741  工程场地地震安全性评价</w:t>
            </w:r>
          </w:p>
        </w:tc>
      </w:tr>
    </w:tbl>
    <w:p w14:paraId="3717C747">
      <w:pPr>
        <w:keepNext w:val="0"/>
        <w:keepLines w:val="0"/>
        <w:pageBreakBefore w:val="0"/>
        <w:kinsoku/>
        <w:overflowPunct/>
        <w:topLinePunct w:val="0"/>
        <w:autoSpaceDE w:val="0"/>
        <w:autoSpaceDN w:val="0"/>
        <w:bidi w:val="0"/>
        <w:adjustRightInd w:val="0"/>
        <w:snapToGrid/>
        <w:spacing w:line="560" w:lineRule="exact"/>
        <w:ind w:left="0" w:firstLine="640" w:firstLineChars="200"/>
        <w:jc w:val="left"/>
        <w:textAlignment w:val="auto"/>
        <w:rPr>
          <w:rFonts w:hint="default" w:ascii="仿宋_GB2312" w:hAnsi="宋体"/>
          <w:color w:val="auto"/>
          <w:sz w:val="32"/>
          <w:szCs w:val="32"/>
          <w:lang w:val="en-US" w:eastAsia="zh-CN"/>
        </w:rPr>
      </w:pPr>
      <w:r>
        <w:rPr>
          <w:rFonts w:hint="default" w:ascii="仿宋_GB2312" w:hAnsi="宋体"/>
          <w:color w:val="auto"/>
          <w:sz w:val="32"/>
          <w:szCs w:val="32"/>
          <w:lang w:val="en-US" w:eastAsia="zh-CN"/>
        </w:rPr>
        <w:t>地震液化初步调查震害历史是验证和修正液化判别方法的可靠依据，而地形地貌、地层年代、地下水埋深等决定了饱和砂土或粉土是否具备发生液化的基本环境，属于液化判别的关键基础信息。</w:t>
      </w:r>
      <w:r>
        <w:rPr>
          <w:rFonts w:hint="eastAsia" w:ascii="仿宋_GB2312" w:hAnsi="宋体"/>
          <w:color w:val="auto"/>
          <w:sz w:val="32"/>
          <w:szCs w:val="32"/>
          <w:lang w:val="en-US" w:eastAsia="zh-CN"/>
        </w:rPr>
        <w:t>而</w:t>
      </w:r>
      <w:r>
        <w:rPr>
          <w:rFonts w:hint="default" w:ascii="仿宋_GB2312" w:hAnsi="宋体"/>
          <w:color w:val="auto"/>
          <w:sz w:val="32"/>
          <w:szCs w:val="32"/>
          <w:lang w:val="en-US" w:eastAsia="zh-CN"/>
        </w:rPr>
        <w:t>调查历史地震软土震陷情况、与软土震陷有关的场地条件以及场地是否存在较厚软土层，能够为同类地质背景下的震陷风险评估提供宝贵类比依据，而地形地貌和地下水条件直接影响软土的排水固结状态及其在地震作用下的动力响应，是震陷发生与否的重要控制因素。</w:t>
      </w:r>
    </w:p>
    <w:p w14:paraId="60DBB952">
      <w:pPr>
        <w:keepNext w:val="0"/>
        <w:keepLines w:val="0"/>
        <w:pageBreakBefore w:val="0"/>
        <w:kinsoku/>
        <w:overflowPunct/>
        <w:topLinePunct w:val="0"/>
        <w:autoSpaceDE w:val="0"/>
        <w:autoSpaceDN w:val="0"/>
        <w:bidi w:val="0"/>
        <w:adjustRightInd w:val="0"/>
        <w:snapToGrid/>
        <w:spacing w:line="560" w:lineRule="exact"/>
        <w:ind w:left="0" w:firstLine="640" w:firstLineChars="200"/>
        <w:jc w:val="left"/>
        <w:textAlignment w:val="auto"/>
        <w:rPr>
          <w:rFonts w:hint="default" w:ascii="仿宋_GB2312" w:hAnsi="宋体"/>
          <w:color w:val="auto"/>
          <w:sz w:val="32"/>
          <w:szCs w:val="32"/>
          <w:lang w:val="en-US" w:eastAsia="zh-CN"/>
        </w:rPr>
      </w:pPr>
      <w:r>
        <w:rPr>
          <w:rFonts w:hint="default" w:ascii="仿宋_GB2312" w:hAnsi="宋体"/>
          <w:color w:val="auto"/>
          <w:sz w:val="32"/>
          <w:szCs w:val="32"/>
          <w:lang w:val="en-US" w:eastAsia="zh-CN"/>
        </w:rPr>
        <w:t>调查历史地震崩塌滑坡情况、现场核实不良工程地质、查明坡体地形地貌、获取岩土体结构与产状关系，以及采用遥感影像圈划地质灾害体轮廓线，是因为历史地震次生地质灾害是评估场地斜坡稳定性的重要参照，现有勘察资料须通过现场核实以保证信息的准确性和时效性。</w:t>
      </w:r>
    </w:p>
    <w:p w14:paraId="787C257C">
      <w:pPr>
        <w:keepNext w:val="0"/>
        <w:keepLines w:val="0"/>
        <w:pageBreakBefore w:val="0"/>
        <w:kinsoku/>
        <w:overflowPunct/>
        <w:topLinePunct w:val="0"/>
        <w:autoSpaceDE w:val="0"/>
        <w:autoSpaceDN w:val="0"/>
        <w:bidi w:val="0"/>
        <w:adjustRightInd w:val="0"/>
        <w:snapToGrid/>
        <w:spacing w:line="560" w:lineRule="exact"/>
        <w:ind w:left="0" w:firstLine="640" w:firstLineChars="200"/>
        <w:jc w:val="left"/>
        <w:textAlignment w:val="auto"/>
        <w:rPr>
          <w:rFonts w:hint="eastAsia" w:ascii="仿宋_GB2312" w:hAnsi="宋体"/>
          <w:color w:val="auto"/>
          <w:sz w:val="32"/>
          <w:szCs w:val="32"/>
          <w:lang w:val="en-US" w:eastAsia="zh-CN"/>
        </w:rPr>
      </w:pPr>
      <w:r>
        <w:rPr>
          <w:rFonts w:hint="default" w:ascii="仿宋_GB2312" w:hAnsi="宋体"/>
          <w:color w:val="auto"/>
          <w:sz w:val="32"/>
          <w:szCs w:val="32"/>
          <w:lang w:val="en-US" w:eastAsia="zh-CN"/>
        </w:rPr>
        <w:t>（</w:t>
      </w:r>
      <w:r>
        <w:rPr>
          <w:rFonts w:hint="eastAsia" w:ascii="仿宋_GB2312" w:hAnsi="宋体"/>
          <w:color w:val="auto"/>
          <w:sz w:val="32"/>
          <w:szCs w:val="32"/>
          <w:lang w:val="en-US" w:eastAsia="zh-CN"/>
        </w:rPr>
        <w:t>八</w:t>
      </w:r>
      <w:r>
        <w:rPr>
          <w:rFonts w:hint="default" w:ascii="仿宋_GB2312" w:hAnsi="宋体"/>
          <w:color w:val="auto"/>
          <w:sz w:val="32"/>
          <w:szCs w:val="32"/>
          <w:lang w:val="en-US" w:eastAsia="zh-CN"/>
        </w:rPr>
        <w:t>）</w:t>
      </w:r>
      <w:r>
        <w:rPr>
          <w:rFonts w:hint="eastAsia" w:ascii="仿宋_GB2312" w:hAnsi="宋体"/>
          <w:color w:val="auto"/>
          <w:sz w:val="32"/>
          <w:szCs w:val="32"/>
          <w:lang w:val="en-US" w:eastAsia="zh-CN"/>
        </w:rPr>
        <w:t>资料处理与归档</w:t>
      </w:r>
    </w:p>
    <w:p w14:paraId="2E4503AC">
      <w:pPr>
        <w:keepNext w:val="0"/>
        <w:keepLines w:val="0"/>
        <w:pageBreakBefore w:val="0"/>
        <w:kinsoku/>
        <w:overflowPunct/>
        <w:topLinePunct w:val="0"/>
        <w:autoSpaceDE w:val="0"/>
        <w:autoSpaceDN w:val="0"/>
        <w:bidi w:val="0"/>
        <w:adjustRightInd w:val="0"/>
        <w:snapToGrid/>
        <w:spacing w:line="560" w:lineRule="exact"/>
        <w:ind w:left="0" w:firstLine="640" w:firstLineChars="200"/>
        <w:jc w:val="left"/>
        <w:textAlignment w:val="auto"/>
        <w:rPr>
          <w:rFonts w:hint="eastAsia" w:ascii="仿宋_GB2312" w:hAnsi="宋体"/>
          <w:color w:val="auto"/>
          <w:sz w:val="32"/>
          <w:szCs w:val="32"/>
          <w:lang w:val="en-US" w:eastAsia="zh-CN"/>
        </w:rPr>
      </w:pPr>
      <w:r>
        <w:rPr>
          <w:rFonts w:hint="eastAsia" w:ascii="仿宋_GB2312" w:hAnsi="宋体"/>
          <w:color w:val="auto"/>
          <w:sz w:val="32"/>
          <w:szCs w:val="32"/>
          <w:lang w:val="en-US" w:eastAsia="zh-CN"/>
        </w:rPr>
        <w:t>8.1资料处理</w:t>
      </w:r>
    </w:p>
    <w:p w14:paraId="36047FE4">
      <w:pPr>
        <w:keepNext w:val="0"/>
        <w:keepLines w:val="0"/>
        <w:pageBreakBefore w:val="0"/>
        <w:kinsoku/>
        <w:overflowPunct/>
        <w:topLinePunct w:val="0"/>
        <w:autoSpaceDE w:val="0"/>
        <w:autoSpaceDN w:val="0"/>
        <w:bidi w:val="0"/>
        <w:adjustRightInd w:val="0"/>
        <w:snapToGrid/>
        <w:spacing w:line="560" w:lineRule="exact"/>
        <w:ind w:left="0" w:firstLine="640" w:firstLineChars="200"/>
        <w:jc w:val="left"/>
        <w:textAlignment w:val="auto"/>
        <w:rPr>
          <w:rFonts w:hint="eastAsia" w:ascii="仿宋_GB2312" w:hAnsi="宋体"/>
          <w:color w:val="auto"/>
          <w:sz w:val="32"/>
          <w:szCs w:val="32"/>
          <w:lang w:val="en-US" w:eastAsia="zh-CN"/>
        </w:rPr>
      </w:pPr>
      <w:r>
        <w:rPr>
          <w:rFonts w:hint="eastAsia" w:ascii="仿宋_GB2312" w:hAnsi="宋体"/>
          <w:color w:val="auto"/>
          <w:sz w:val="32"/>
          <w:szCs w:val="32"/>
          <w:lang w:val="en-US" w:eastAsia="zh-CN"/>
        </w:rPr>
        <w:t>要确保现场工作原始资料完整、真实、可追溯，保障地震安全性评价的科学性、可靠性与规范性。通过系统留存各类原始数据、图件、影像与测试结果，支撑场地地震地质条件精准研判、断层活动性可靠鉴定、地震动参数合理确定及地震地质灾害准确分区，为重大工程抗震设防提供技术依据，同时满足资料存档、追溯与质量监管的全过程管控需求。</w:t>
      </w:r>
    </w:p>
    <w:p w14:paraId="097A18FD">
      <w:pPr>
        <w:keepNext w:val="0"/>
        <w:keepLines w:val="0"/>
        <w:pageBreakBefore w:val="0"/>
        <w:kinsoku/>
        <w:overflowPunct/>
        <w:topLinePunct w:val="0"/>
        <w:autoSpaceDE w:val="0"/>
        <w:autoSpaceDN w:val="0"/>
        <w:bidi w:val="0"/>
        <w:adjustRightInd w:val="0"/>
        <w:snapToGrid/>
        <w:spacing w:line="560" w:lineRule="exact"/>
        <w:ind w:left="0" w:firstLine="640" w:firstLineChars="200"/>
        <w:jc w:val="left"/>
        <w:textAlignment w:val="auto"/>
        <w:rPr>
          <w:rFonts w:hint="eastAsia" w:ascii="仿宋_GB2312" w:hAnsi="宋体"/>
          <w:color w:val="auto"/>
          <w:sz w:val="32"/>
          <w:szCs w:val="32"/>
          <w:lang w:val="en-US" w:eastAsia="zh-CN"/>
        </w:rPr>
      </w:pPr>
      <w:r>
        <w:rPr>
          <w:rFonts w:hint="eastAsia" w:ascii="仿宋_GB2312" w:hAnsi="宋体"/>
          <w:color w:val="auto"/>
          <w:sz w:val="32"/>
          <w:szCs w:val="32"/>
          <w:lang w:val="en-US" w:eastAsia="zh-CN"/>
        </w:rPr>
        <w:t>8.2图件处理</w:t>
      </w:r>
    </w:p>
    <w:p w14:paraId="113BBF04">
      <w:pPr>
        <w:keepNext w:val="0"/>
        <w:keepLines w:val="0"/>
        <w:pageBreakBefore w:val="0"/>
        <w:kinsoku/>
        <w:overflowPunct/>
        <w:topLinePunct w:val="0"/>
        <w:autoSpaceDE w:val="0"/>
        <w:autoSpaceDN w:val="0"/>
        <w:bidi w:val="0"/>
        <w:adjustRightInd w:val="0"/>
        <w:snapToGrid/>
        <w:spacing w:line="560" w:lineRule="exact"/>
        <w:ind w:left="0" w:firstLine="640" w:firstLineChars="200"/>
        <w:jc w:val="left"/>
        <w:textAlignment w:val="auto"/>
        <w:rPr>
          <w:rFonts w:hint="default" w:ascii="仿宋_GB2312" w:hAnsi="宋体"/>
          <w:color w:val="auto"/>
          <w:sz w:val="32"/>
          <w:szCs w:val="32"/>
          <w:lang w:val="en-US" w:eastAsia="zh-CN"/>
        </w:rPr>
      </w:pPr>
      <w:r>
        <w:rPr>
          <w:rFonts w:hint="default" w:ascii="仿宋_GB2312" w:hAnsi="宋体"/>
          <w:color w:val="auto"/>
          <w:sz w:val="32"/>
          <w:szCs w:val="32"/>
          <w:lang w:val="en-US" w:eastAsia="zh-CN"/>
        </w:rPr>
        <w:t>统一同类图件制图比例尺、规范图件编制要素与绘制标准，并衔接现行国家、行业相关标准，统一地震安全性评价成果图件编制规则，保证图件成果标准化、规范化，保障场地地质信息表达统一准确、直观清晰，规避制图差异造成的解读偏差，确保评价成果质量、成果间可比性。</w:t>
      </w:r>
    </w:p>
    <w:p w14:paraId="108B3DF9">
      <w:pPr>
        <w:keepNext w:val="0"/>
        <w:keepLines w:val="0"/>
        <w:pageBreakBefore w:val="0"/>
        <w:kinsoku/>
        <w:overflowPunct/>
        <w:topLinePunct w:val="0"/>
        <w:autoSpaceDE w:val="0"/>
        <w:autoSpaceDN w:val="0"/>
        <w:bidi w:val="0"/>
        <w:adjustRightInd w:val="0"/>
        <w:snapToGrid/>
        <w:spacing w:line="560" w:lineRule="exact"/>
        <w:ind w:left="0" w:firstLine="640" w:firstLineChars="200"/>
        <w:jc w:val="left"/>
        <w:textAlignment w:val="auto"/>
        <w:rPr>
          <w:rFonts w:hint="default" w:ascii="仿宋_GB2312" w:hAnsi="宋体"/>
          <w:color w:val="auto"/>
          <w:sz w:val="32"/>
          <w:szCs w:val="32"/>
          <w:lang w:val="en-US" w:eastAsia="zh-CN"/>
        </w:rPr>
      </w:pPr>
      <w:r>
        <w:rPr>
          <w:rFonts w:hint="eastAsia" w:ascii="仿宋_GB2312" w:hAnsi="宋体"/>
          <w:color w:val="auto"/>
          <w:sz w:val="32"/>
          <w:szCs w:val="32"/>
          <w:lang w:val="en-US" w:eastAsia="zh-CN"/>
        </w:rPr>
        <w:t>8.3资料存档</w:t>
      </w:r>
    </w:p>
    <w:p w14:paraId="0D02616D">
      <w:pPr>
        <w:keepNext w:val="0"/>
        <w:keepLines w:val="0"/>
        <w:pageBreakBefore w:val="0"/>
        <w:kinsoku/>
        <w:overflowPunct/>
        <w:topLinePunct w:val="0"/>
        <w:autoSpaceDE w:val="0"/>
        <w:autoSpaceDN w:val="0"/>
        <w:bidi w:val="0"/>
        <w:adjustRightInd w:val="0"/>
        <w:snapToGrid/>
        <w:spacing w:line="560" w:lineRule="exact"/>
        <w:ind w:left="0" w:firstLine="640" w:firstLineChars="200"/>
        <w:jc w:val="left"/>
        <w:textAlignment w:val="auto"/>
        <w:rPr>
          <w:rFonts w:hint="default" w:ascii="仿宋_GB2312" w:hAnsi="宋体"/>
          <w:color w:val="auto"/>
          <w:sz w:val="32"/>
          <w:szCs w:val="32"/>
          <w:lang w:val="en-US" w:eastAsia="zh-CN"/>
        </w:rPr>
      </w:pPr>
      <w:r>
        <w:rPr>
          <w:rFonts w:hint="default" w:ascii="仿宋_GB2312" w:hAnsi="宋体"/>
          <w:color w:val="auto"/>
          <w:sz w:val="32"/>
          <w:szCs w:val="32"/>
          <w:lang w:val="en-US" w:eastAsia="zh-CN"/>
        </w:rPr>
        <w:t>统一明确各类地震安全性评价现场工作原始资料的采集、记录、签字、归集、保管年限及分类存档内容，保障断层调查、地球物理勘探、场地钻探、灾害调查、波速测试等现场原始资料真实完整、可追溯、可复核，规范全流程资料整理归档管理，留存完整基础数据与现场实证材料，支撑项目技术审查、成果溯源、后期核查复盘及长期技术资料备查使用，保障地震安全性评价工作成果的科学性、规范性与可溯源性。</w:t>
      </w:r>
    </w:p>
    <w:p w14:paraId="412D30FF">
      <w:pPr>
        <w:keepNext w:val="0"/>
        <w:keepLines w:val="0"/>
        <w:pageBreakBefore w:val="0"/>
        <w:kinsoku/>
        <w:overflowPunct/>
        <w:topLinePunct w:val="0"/>
        <w:autoSpaceDE w:val="0"/>
        <w:autoSpaceDN w:val="0"/>
        <w:bidi w:val="0"/>
        <w:adjustRightInd w:val="0"/>
        <w:snapToGrid/>
        <w:spacing w:line="560" w:lineRule="exact"/>
        <w:ind w:left="0" w:firstLine="640" w:firstLineChars="200"/>
        <w:jc w:val="left"/>
        <w:textAlignment w:val="auto"/>
        <w:rPr>
          <w:rFonts w:ascii="黑体" w:hAnsi="黑体" w:eastAsia="黑体" w:cs="仿宋_GB2312"/>
          <w:sz w:val="32"/>
          <w:szCs w:val="32"/>
        </w:rPr>
      </w:pPr>
      <w:bookmarkStart w:id="4" w:name="_Toc526940086"/>
      <w:r>
        <w:rPr>
          <w:rFonts w:hint="eastAsia" w:ascii="黑体" w:hAnsi="黑体" w:eastAsia="黑体" w:cs="仿宋_GB2312"/>
          <w:sz w:val="32"/>
          <w:szCs w:val="32"/>
        </w:rPr>
        <w:t>六、</w:t>
      </w:r>
      <w:bookmarkEnd w:id="4"/>
      <w:r>
        <w:rPr>
          <w:rFonts w:hint="eastAsia" w:ascii="黑体" w:hAnsi="黑体" w:eastAsia="黑体" w:cs="仿宋_GB2312"/>
          <w:sz w:val="32"/>
          <w:szCs w:val="32"/>
        </w:rPr>
        <w:t>重大分歧意见的处理经过和依据</w:t>
      </w:r>
    </w:p>
    <w:p w14:paraId="7DBD7D8D">
      <w:pPr>
        <w:keepNext w:val="0"/>
        <w:keepLines w:val="0"/>
        <w:pageBreakBefore w:val="0"/>
        <w:kinsoku/>
        <w:overflowPunct/>
        <w:topLinePunct w:val="0"/>
        <w:bidi w:val="0"/>
        <w:snapToGrid/>
        <w:spacing w:line="560" w:lineRule="exact"/>
        <w:ind w:left="0" w:firstLine="640" w:firstLineChars="200"/>
        <w:textAlignment w:val="auto"/>
        <w:rPr>
          <w:rFonts w:ascii="仿宋_GB2312" w:hAnsi="宋体" w:eastAsia="仿宋_GB2312"/>
          <w:sz w:val="32"/>
          <w:szCs w:val="28"/>
        </w:rPr>
      </w:pPr>
      <w:r>
        <w:rPr>
          <w:rFonts w:hint="eastAsia" w:ascii="仿宋_GB2312" w:hAnsi="宋体" w:eastAsia="仿宋_GB2312"/>
          <w:sz w:val="32"/>
          <w:szCs w:val="28"/>
        </w:rPr>
        <w:t>本标准研制过程中无重大分歧意见。</w:t>
      </w:r>
    </w:p>
    <w:p w14:paraId="69867F09">
      <w:pPr>
        <w:keepNext w:val="0"/>
        <w:keepLines w:val="0"/>
        <w:pageBreakBefore w:val="0"/>
        <w:kinsoku/>
        <w:overflowPunct/>
        <w:topLinePunct w:val="0"/>
        <w:autoSpaceDE w:val="0"/>
        <w:autoSpaceDN w:val="0"/>
        <w:bidi w:val="0"/>
        <w:adjustRightInd w:val="0"/>
        <w:snapToGrid/>
        <w:spacing w:line="560" w:lineRule="exact"/>
        <w:ind w:left="0" w:firstLine="640" w:firstLineChars="200"/>
        <w:jc w:val="left"/>
        <w:textAlignment w:val="auto"/>
        <w:rPr>
          <w:rFonts w:ascii="黑体" w:hAnsi="黑体" w:eastAsia="黑体" w:cs="仿宋_GB2312"/>
          <w:sz w:val="32"/>
          <w:szCs w:val="32"/>
        </w:rPr>
      </w:pPr>
      <w:r>
        <w:rPr>
          <w:rFonts w:hint="eastAsia" w:ascii="黑体" w:hAnsi="黑体" w:eastAsia="黑体" w:cs="仿宋_GB2312"/>
          <w:sz w:val="32"/>
          <w:szCs w:val="32"/>
        </w:rPr>
        <w:t>七</w:t>
      </w:r>
      <w:r>
        <w:rPr>
          <w:rFonts w:ascii="黑体" w:hAnsi="黑体" w:eastAsia="黑体" w:cs="仿宋_GB2312"/>
          <w:sz w:val="32"/>
          <w:szCs w:val="32"/>
        </w:rPr>
        <w:t>、</w:t>
      </w:r>
      <w:r>
        <w:rPr>
          <w:rFonts w:hint="eastAsia" w:ascii="黑体" w:hAnsi="黑体" w:eastAsia="黑体" w:cs="仿宋_GB2312"/>
          <w:sz w:val="32"/>
          <w:szCs w:val="32"/>
        </w:rPr>
        <w:t>实施标准的措施</w:t>
      </w:r>
    </w:p>
    <w:p w14:paraId="67C45D00">
      <w:pPr>
        <w:keepNext w:val="0"/>
        <w:keepLines w:val="0"/>
        <w:pageBreakBefore w:val="0"/>
        <w:kinsoku/>
        <w:overflowPunct/>
        <w:topLinePunct w:val="0"/>
        <w:bidi w:val="0"/>
        <w:snapToGrid/>
        <w:spacing w:line="560" w:lineRule="exact"/>
        <w:ind w:left="0" w:firstLine="643" w:firstLineChars="200"/>
        <w:textAlignment w:val="auto"/>
        <w:rPr>
          <w:rFonts w:ascii="仿宋_GB2312" w:hAnsi="宋体" w:eastAsia="仿宋_GB2312"/>
          <w:b/>
          <w:sz w:val="32"/>
          <w:szCs w:val="28"/>
        </w:rPr>
      </w:pPr>
      <w:r>
        <w:rPr>
          <w:rFonts w:hint="eastAsia" w:ascii="仿宋_GB2312" w:hAnsi="宋体" w:eastAsia="仿宋_GB2312"/>
          <w:b/>
          <w:sz w:val="32"/>
          <w:szCs w:val="28"/>
        </w:rPr>
        <w:t>（一）标准报批发布后，成立标准宣贯工作组</w:t>
      </w:r>
    </w:p>
    <w:p w14:paraId="7330B5F1">
      <w:pPr>
        <w:keepNext w:val="0"/>
        <w:keepLines w:val="0"/>
        <w:pageBreakBefore w:val="0"/>
        <w:kinsoku/>
        <w:overflowPunct/>
        <w:topLinePunct w:val="0"/>
        <w:bidi w:val="0"/>
        <w:snapToGrid/>
        <w:spacing w:line="560" w:lineRule="exact"/>
        <w:ind w:left="0" w:firstLine="640" w:firstLineChars="200"/>
        <w:textAlignment w:val="auto"/>
        <w:rPr>
          <w:rFonts w:ascii="仿宋_GB2312" w:hAnsi="宋体" w:eastAsia="仿宋_GB2312"/>
          <w:sz w:val="32"/>
          <w:szCs w:val="28"/>
        </w:rPr>
      </w:pPr>
      <w:r>
        <w:rPr>
          <w:rFonts w:hint="eastAsia" w:ascii="仿宋_GB2312" w:hAnsi="宋体" w:eastAsia="仿宋_GB2312"/>
          <w:sz w:val="32"/>
          <w:szCs w:val="28"/>
        </w:rPr>
        <w:t>本标准发布后，成立以主要起草人为成员的标准宣贯工作组，主要负责标准的宣贯实施培训计划制定、标准实施交流会策划、标准实施信息反馈收集和标准实施效果评估等工作，并根据标准实施信息反馈和标准实施效果评估情况，及时组织标准复审修订。</w:t>
      </w:r>
    </w:p>
    <w:p w14:paraId="2EC0E2CD">
      <w:pPr>
        <w:keepNext w:val="0"/>
        <w:keepLines w:val="0"/>
        <w:pageBreakBefore w:val="0"/>
        <w:kinsoku/>
        <w:overflowPunct/>
        <w:topLinePunct w:val="0"/>
        <w:bidi w:val="0"/>
        <w:snapToGrid/>
        <w:spacing w:line="560" w:lineRule="exact"/>
        <w:ind w:left="0" w:firstLine="643" w:firstLineChars="200"/>
        <w:textAlignment w:val="auto"/>
        <w:rPr>
          <w:rFonts w:ascii="仿宋_GB2312" w:hAnsi="宋体" w:eastAsia="仿宋_GB2312"/>
          <w:b/>
          <w:sz w:val="32"/>
          <w:szCs w:val="28"/>
        </w:rPr>
      </w:pPr>
      <w:r>
        <w:rPr>
          <w:rFonts w:hint="eastAsia" w:ascii="仿宋_GB2312" w:hAnsi="宋体" w:eastAsia="仿宋_GB2312"/>
          <w:b/>
          <w:sz w:val="32"/>
          <w:szCs w:val="28"/>
        </w:rPr>
        <w:t>（二）组织开展标准宣贯培训</w:t>
      </w:r>
    </w:p>
    <w:p w14:paraId="38C99CE1">
      <w:pPr>
        <w:keepNext w:val="0"/>
        <w:keepLines w:val="0"/>
        <w:pageBreakBefore w:val="0"/>
        <w:kinsoku/>
        <w:overflowPunct/>
        <w:topLinePunct w:val="0"/>
        <w:bidi w:val="0"/>
        <w:snapToGrid/>
        <w:spacing w:line="560" w:lineRule="exact"/>
        <w:ind w:left="0" w:firstLine="640" w:firstLineChars="200"/>
        <w:textAlignment w:val="auto"/>
        <w:rPr>
          <w:rFonts w:ascii="仿宋_GB2312" w:hAnsi="宋体" w:eastAsia="仿宋_GB2312"/>
          <w:sz w:val="32"/>
          <w:szCs w:val="28"/>
        </w:rPr>
      </w:pPr>
      <w:r>
        <w:rPr>
          <w:rFonts w:hint="eastAsia" w:ascii="仿宋_GB2312" w:hAnsi="宋体" w:eastAsia="仿宋_GB2312"/>
          <w:sz w:val="32"/>
          <w:szCs w:val="28"/>
        </w:rPr>
        <w:t>标准发布实施后，标准宣贯工作小组制作标准解读宣贯培训PPT课件和标准核心技术明白书，并按标准宣贯培训计划深入各市县相关机构、单位开展标准宣贯培训，对标准进行逐条解读，让技术人员掌握标准核心内容，助力标准实施落地。</w:t>
      </w:r>
    </w:p>
    <w:p w14:paraId="29942561">
      <w:pPr>
        <w:keepNext w:val="0"/>
        <w:keepLines w:val="0"/>
        <w:pageBreakBefore w:val="0"/>
        <w:kinsoku/>
        <w:overflowPunct/>
        <w:topLinePunct w:val="0"/>
        <w:bidi w:val="0"/>
        <w:snapToGrid/>
        <w:spacing w:line="560" w:lineRule="exact"/>
        <w:ind w:left="0" w:firstLine="643" w:firstLineChars="200"/>
        <w:textAlignment w:val="auto"/>
        <w:rPr>
          <w:rFonts w:ascii="仿宋_GB2312" w:hAnsi="宋体" w:eastAsia="仿宋_GB2312"/>
          <w:b/>
          <w:sz w:val="32"/>
          <w:szCs w:val="28"/>
        </w:rPr>
      </w:pPr>
      <w:r>
        <w:rPr>
          <w:rFonts w:hint="eastAsia" w:ascii="仿宋_GB2312" w:hAnsi="宋体" w:eastAsia="仿宋_GB2312"/>
          <w:b/>
          <w:sz w:val="32"/>
          <w:szCs w:val="28"/>
        </w:rPr>
        <w:t>（三）开展标准实施交流会，收集标准实施反馈信息</w:t>
      </w:r>
    </w:p>
    <w:p w14:paraId="336AB236">
      <w:pPr>
        <w:keepNext w:val="0"/>
        <w:keepLines w:val="0"/>
        <w:pageBreakBefore w:val="0"/>
        <w:kinsoku/>
        <w:overflowPunct/>
        <w:topLinePunct w:val="0"/>
        <w:bidi w:val="0"/>
        <w:snapToGrid/>
        <w:spacing w:line="560" w:lineRule="exact"/>
        <w:ind w:left="0" w:firstLine="640" w:firstLineChars="200"/>
        <w:textAlignment w:val="auto"/>
        <w:rPr>
          <w:rFonts w:ascii="仿宋_GB2312" w:hAnsi="宋体" w:eastAsia="仿宋_GB2312"/>
          <w:sz w:val="32"/>
          <w:szCs w:val="28"/>
        </w:rPr>
      </w:pPr>
      <w:r>
        <w:rPr>
          <w:rFonts w:hint="eastAsia" w:ascii="仿宋_GB2312" w:hAnsi="宋体" w:eastAsia="仿宋_GB2312"/>
          <w:sz w:val="32"/>
          <w:szCs w:val="28"/>
        </w:rPr>
        <w:t>标准起草小组深入各市县相关机构、单位组织技术人员召开标准实施交流会，听取标准实施过程中存在的问题并做好记录和解答，对存在的问题组织专家团队进行研讨，为标准的复审修订做准备。</w:t>
      </w:r>
    </w:p>
    <w:p w14:paraId="1F438F65">
      <w:pPr>
        <w:keepNext w:val="0"/>
        <w:keepLines w:val="0"/>
        <w:pageBreakBefore w:val="0"/>
        <w:kinsoku/>
        <w:overflowPunct/>
        <w:topLinePunct w:val="0"/>
        <w:bidi w:val="0"/>
        <w:snapToGrid/>
        <w:spacing w:line="560" w:lineRule="exact"/>
        <w:ind w:left="0" w:firstLine="643" w:firstLineChars="200"/>
        <w:textAlignment w:val="auto"/>
        <w:rPr>
          <w:rFonts w:ascii="仿宋_GB2312" w:hAnsi="宋体" w:eastAsia="仿宋_GB2312"/>
          <w:b/>
          <w:sz w:val="32"/>
          <w:szCs w:val="28"/>
        </w:rPr>
      </w:pPr>
      <w:r>
        <w:rPr>
          <w:rFonts w:hint="eastAsia" w:ascii="仿宋_GB2312" w:hAnsi="宋体" w:eastAsia="仿宋_GB2312"/>
          <w:b/>
          <w:sz w:val="32"/>
          <w:szCs w:val="28"/>
        </w:rPr>
        <w:t>（四）开展标准实施效果评估</w:t>
      </w:r>
    </w:p>
    <w:p w14:paraId="7DE0DDFE">
      <w:pPr>
        <w:keepNext w:val="0"/>
        <w:keepLines w:val="0"/>
        <w:pageBreakBefore w:val="0"/>
        <w:kinsoku/>
        <w:overflowPunct/>
        <w:topLinePunct w:val="0"/>
        <w:bidi w:val="0"/>
        <w:snapToGrid/>
        <w:spacing w:line="560" w:lineRule="exact"/>
        <w:ind w:left="0" w:firstLine="640" w:firstLineChars="200"/>
        <w:textAlignment w:val="auto"/>
        <w:rPr>
          <w:rFonts w:ascii="仿宋_GB2312" w:hAnsi="宋体" w:eastAsia="仿宋_GB2312"/>
          <w:sz w:val="32"/>
          <w:szCs w:val="28"/>
        </w:rPr>
      </w:pPr>
      <w:r>
        <w:rPr>
          <w:rFonts w:hint="eastAsia" w:ascii="仿宋_GB2312" w:hAnsi="宋体" w:eastAsia="仿宋_GB2312"/>
          <w:sz w:val="32"/>
          <w:szCs w:val="28"/>
        </w:rPr>
        <w:t>标准实施满2年，每年标准宣贯工作组采取网络调查、问卷调查、实地调研、召开座谈会或论证会、专家咨询等方式开展标准实施效果评估，并形成标准实施效果评估报告，为标准的复审修订做准备。</w:t>
      </w:r>
    </w:p>
    <w:p w14:paraId="36B16457">
      <w:pPr>
        <w:keepNext w:val="0"/>
        <w:keepLines w:val="0"/>
        <w:pageBreakBefore w:val="0"/>
        <w:kinsoku/>
        <w:overflowPunct/>
        <w:topLinePunct w:val="0"/>
        <w:autoSpaceDE w:val="0"/>
        <w:autoSpaceDN w:val="0"/>
        <w:bidi w:val="0"/>
        <w:adjustRightInd w:val="0"/>
        <w:snapToGrid/>
        <w:spacing w:line="560" w:lineRule="exact"/>
        <w:ind w:left="0" w:firstLine="640" w:firstLineChars="200"/>
        <w:jc w:val="left"/>
        <w:textAlignment w:val="auto"/>
        <w:rPr>
          <w:rFonts w:ascii="黑体" w:hAnsi="黑体" w:eastAsia="黑体" w:cs="仿宋_GB2312"/>
          <w:sz w:val="32"/>
          <w:szCs w:val="32"/>
        </w:rPr>
      </w:pPr>
      <w:r>
        <w:rPr>
          <w:rFonts w:hint="eastAsia" w:ascii="黑体" w:hAnsi="黑体" w:eastAsia="黑体" w:cs="仿宋_GB2312"/>
          <w:sz w:val="32"/>
          <w:szCs w:val="32"/>
        </w:rPr>
        <w:t>八、其他应当说明的事项</w:t>
      </w:r>
    </w:p>
    <w:p w14:paraId="23A53EB2">
      <w:pPr>
        <w:keepNext w:val="0"/>
        <w:keepLines w:val="0"/>
        <w:pageBreakBefore w:val="0"/>
        <w:kinsoku/>
        <w:overflowPunct/>
        <w:topLinePunct w:val="0"/>
        <w:bidi w:val="0"/>
        <w:snapToGrid/>
        <w:spacing w:line="560" w:lineRule="exact"/>
        <w:ind w:left="0" w:firstLine="640" w:firstLineChars="200"/>
        <w:textAlignment w:val="auto"/>
        <w:rPr>
          <w:rFonts w:ascii="仿宋_GB2312" w:hAnsi="宋体" w:eastAsia="仿宋_GB2312"/>
          <w:sz w:val="32"/>
          <w:szCs w:val="28"/>
        </w:rPr>
      </w:pPr>
      <w:r>
        <w:rPr>
          <w:rFonts w:hint="eastAsia" w:ascii="仿宋_GB2312" w:hAnsi="宋体" w:eastAsia="仿宋_GB2312"/>
          <w:sz w:val="32"/>
          <w:szCs w:val="28"/>
        </w:rPr>
        <w:t>无。</w:t>
      </w:r>
    </w:p>
    <w:p w14:paraId="1562F1AF">
      <w:pPr>
        <w:keepNext w:val="0"/>
        <w:keepLines w:val="0"/>
        <w:pageBreakBefore w:val="0"/>
        <w:kinsoku/>
        <w:overflowPunct/>
        <w:topLinePunct w:val="0"/>
        <w:bidi w:val="0"/>
        <w:snapToGrid/>
        <w:spacing w:line="560" w:lineRule="exact"/>
        <w:ind w:left="0"/>
        <w:textAlignment w:val="auto"/>
        <w:rPr>
          <w:rFonts w:ascii="仿宋_GB2312" w:hAnsi="仿宋" w:eastAsia="仿宋_GB2312"/>
          <w:bCs/>
          <w:color w:val="000000"/>
          <w:sz w:val="36"/>
          <w:szCs w:val="32"/>
        </w:rPr>
      </w:pPr>
    </w:p>
    <w:p w14:paraId="0FDE70D6">
      <w:pPr>
        <w:keepNext w:val="0"/>
        <w:keepLines w:val="0"/>
        <w:pageBreakBefore w:val="0"/>
        <w:kinsoku/>
        <w:overflowPunct/>
        <w:topLinePunct w:val="0"/>
        <w:bidi w:val="0"/>
        <w:snapToGrid/>
        <w:spacing w:line="560" w:lineRule="exact"/>
        <w:ind w:left="0"/>
        <w:textAlignment w:val="auto"/>
        <w:rPr>
          <w:rFonts w:ascii="仿宋_GB2312" w:hAnsi="仿宋" w:eastAsia="仿宋_GB2312"/>
          <w:bCs/>
          <w:color w:val="000000"/>
          <w:sz w:val="36"/>
          <w:szCs w:val="32"/>
        </w:rPr>
      </w:pPr>
    </w:p>
    <w:p w14:paraId="639B864D">
      <w:pPr>
        <w:keepNext w:val="0"/>
        <w:keepLines w:val="0"/>
        <w:pageBreakBefore w:val="0"/>
        <w:kinsoku/>
        <w:wordWrap w:val="0"/>
        <w:overflowPunct/>
        <w:topLinePunct w:val="0"/>
        <w:bidi w:val="0"/>
        <w:snapToGrid/>
        <w:spacing w:line="560" w:lineRule="exact"/>
        <w:ind w:left="0"/>
        <w:jc w:val="right"/>
        <w:textAlignment w:val="auto"/>
        <w:rPr>
          <w:rFonts w:ascii="仿宋_GB2312" w:hAnsi="宋体" w:eastAsia="仿宋_GB2312"/>
          <w:color w:val="auto"/>
          <w:sz w:val="32"/>
          <w:szCs w:val="28"/>
        </w:rPr>
      </w:pPr>
      <w:r>
        <w:rPr>
          <w:rFonts w:hint="eastAsia" w:ascii="仿宋_GB2312" w:hAnsi="宋体" w:eastAsia="仿宋_GB2312"/>
          <w:color w:val="auto"/>
          <w:sz w:val="32"/>
          <w:szCs w:val="28"/>
        </w:rPr>
        <w:t>团体标准《地震安全性评价现场工作技术规范》</w:t>
      </w:r>
    </w:p>
    <w:p w14:paraId="607C1987">
      <w:pPr>
        <w:keepNext w:val="0"/>
        <w:keepLines w:val="0"/>
        <w:pageBreakBefore w:val="0"/>
        <w:kinsoku/>
        <w:wordWrap w:val="0"/>
        <w:overflowPunct/>
        <w:topLinePunct w:val="0"/>
        <w:bidi w:val="0"/>
        <w:snapToGrid/>
        <w:spacing w:line="560" w:lineRule="exact"/>
        <w:ind w:left="0"/>
        <w:jc w:val="right"/>
        <w:textAlignment w:val="auto"/>
        <w:rPr>
          <w:rFonts w:ascii="仿宋_GB2312" w:hAnsi="宋体" w:eastAsia="仿宋_GB2312"/>
          <w:color w:val="auto"/>
          <w:sz w:val="32"/>
          <w:szCs w:val="28"/>
        </w:rPr>
      </w:pPr>
      <w:r>
        <w:rPr>
          <w:rFonts w:hint="eastAsia" w:ascii="仿宋_GB2312" w:hAnsi="宋体" w:eastAsia="仿宋_GB2312"/>
          <w:color w:val="auto"/>
          <w:sz w:val="32"/>
          <w:szCs w:val="28"/>
        </w:rPr>
        <w:t xml:space="preserve">标准编制工作组 </w:t>
      </w:r>
      <w:r>
        <w:rPr>
          <w:rFonts w:ascii="仿宋_GB2312" w:hAnsi="宋体" w:eastAsia="仿宋_GB2312"/>
          <w:color w:val="auto"/>
          <w:sz w:val="32"/>
          <w:szCs w:val="28"/>
        </w:rPr>
        <w:t xml:space="preserve">        </w:t>
      </w:r>
    </w:p>
    <w:p w14:paraId="245C3211">
      <w:pPr>
        <w:keepNext w:val="0"/>
        <w:keepLines w:val="0"/>
        <w:pageBreakBefore w:val="0"/>
        <w:kinsoku/>
        <w:wordWrap w:val="0"/>
        <w:overflowPunct/>
        <w:topLinePunct w:val="0"/>
        <w:bidi w:val="0"/>
        <w:snapToGrid/>
        <w:spacing w:line="560" w:lineRule="exact"/>
        <w:ind w:left="0"/>
        <w:jc w:val="right"/>
        <w:textAlignment w:val="auto"/>
        <w:rPr>
          <w:rFonts w:ascii="仿宋_GB2312" w:hAnsi="宋体" w:eastAsia="仿宋_GB2312"/>
          <w:color w:val="auto"/>
          <w:sz w:val="32"/>
          <w:szCs w:val="28"/>
        </w:rPr>
      </w:pPr>
      <w:r>
        <w:rPr>
          <w:rFonts w:hint="eastAsia" w:ascii="仿宋_GB2312" w:hAnsi="宋体" w:eastAsia="仿宋_GB2312"/>
          <w:color w:val="auto"/>
          <w:sz w:val="32"/>
          <w:szCs w:val="28"/>
        </w:rPr>
        <w:t>20</w:t>
      </w:r>
      <w:r>
        <w:rPr>
          <w:rFonts w:hint="eastAsia" w:ascii="仿宋_GB2312" w:hAnsi="宋体"/>
          <w:color w:val="auto"/>
          <w:sz w:val="32"/>
          <w:szCs w:val="28"/>
          <w:lang w:val="en-US" w:eastAsia="zh-CN"/>
        </w:rPr>
        <w:t>26</w:t>
      </w:r>
      <w:r>
        <w:rPr>
          <w:rFonts w:hint="eastAsia" w:ascii="仿宋_GB2312" w:hAnsi="宋体" w:eastAsia="仿宋_GB2312"/>
          <w:color w:val="auto"/>
          <w:sz w:val="32"/>
          <w:szCs w:val="28"/>
        </w:rPr>
        <w:t>年</w:t>
      </w:r>
      <w:r>
        <w:rPr>
          <w:rFonts w:hint="eastAsia" w:ascii="仿宋_GB2312" w:hAnsi="宋体"/>
          <w:color w:val="auto"/>
          <w:sz w:val="32"/>
          <w:szCs w:val="28"/>
          <w:lang w:val="en-US" w:eastAsia="zh-CN"/>
        </w:rPr>
        <w:t>4</w:t>
      </w:r>
      <w:r>
        <w:rPr>
          <w:rFonts w:hint="eastAsia" w:ascii="仿宋_GB2312" w:hAnsi="宋体" w:eastAsia="仿宋_GB2312"/>
          <w:color w:val="auto"/>
          <w:sz w:val="32"/>
          <w:szCs w:val="28"/>
        </w:rPr>
        <w:t>月</w:t>
      </w:r>
      <w:r>
        <w:rPr>
          <w:rFonts w:hint="eastAsia" w:ascii="仿宋_GB2312" w:hAnsi="宋体"/>
          <w:color w:val="auto"/>
          <w:sz w:val="32"/>
          <w:szCs w:val="28"/>
          <w:lang w:val="en-US" w:eastAsia="zh-CN"/>
        </w:rPr>
        <w:t>29</w:t>
      </w:r>
      <w:r>
        <w:rPr>
          <w:rFonts w:hint="eastAsia" w:ascii="仿宋_GB2312" w:hAnsi="宋体" w:eastAsia="仿宋_GB2312"/>
          <w:color w:val="auto"/>
          <w:sz w:val="32"/>
          <w:szCs w:val="28"/>
        </w:rPr>
        <w:t xml:space="preserve">日       </w:t>
      </w:r>
      <w:r>
        <w:rPr>
          <w:rFonts w:ascii="仿宋_GB2312" w:hAnsi="宋体" w:eastAsia="仿宋_GB2312"/>
          <w:color w:val="auto"/>
          <w:sz w:val="32"/>
          <w:szCs w:val="28"/>
        </w:rPr>
        <w:t xml:space="preserve"> </w:t>
      </w:r>
    </w:p>
    <w:sectPr>
      <w:footerReference r:id="rId5" w:type="default"/>
      <w:pgSz w:w="11906" w:h="16838"/>
      <w:pgMar w:top="1474" w:right="1474" w:bottom="1474" w:left="1474" w:header="851" w:footer="992" w:gutter="0"/>
      <w:cols w:space="425"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ind w:firstLine="640"/>
      </w:pPr>
      <w:r>
        <w:separator/>
      </w:r>
    </w:p>
  </w:endnote>
  <w:endnote w:type="continuationSeparator" w:id="1">
    <w:p>
      <w:pPr>
        <w:ind w:firstLine="64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roman"/>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仿宋_GB2312">
    <w:panose1 w:val="02010609030101010101"/>
    <w:charset w:val="86"/>
    <w:family w:val="modern"/>
    <w:pitch w:val="default"/>
    <w:sig w:usb0="00000001" w:usb1="080E0000" w:usb2="00000000" w:usb3="00000000" w:csb0="00040000" w:csb1="00000000"/>
  </w:font>
  <w:font w:name="方正小标宋简体">
    <w:panose1 w:val="03000509000000000000"/>
    <w:charset w:val="86"/>
    <w:family w:val="script"/>
    <w:pitch w:val="default"/>
    <w:sig w:usb0="00000001" w:usb1="080E0000" w:usb2="00000000" w:usb3="00000000" w:csb0="00040000" w:csb1="00000000"/>
  </w:font>
  <w:font w:name="楷体">
    <w:panose1 w:val="02010609060101010101"/>
    <w:charset w:val="86"/>
    <w:family w:val="modern"/>
    <w:pitch w:val="default"/>
    <w:sig w:usb0="800002BF" w:usb1="38CF7CFA" w:usb2="00000016" w:usb3="00000000" w:csb0="00040001" w:csb1="00000000"/>
  </w:font>
  <w:font w:name="仿宋">
    <w:panose1 w:val="02010609060101010101"/>
    <w:charset w:val="86"/>
    <w:family w:val="modern"/>
    <w:pitch w:val="default"/>
    <w:sig w:usb0="800002BF" w:usb1="38CF7CFA" w:usb2="00000016" w:usb3="00000000" w:csb0="00040001" w:csb1="00000000"/>
  </w:font>
  <w:font w:name="楷体_GB2312">
    <w:altName w:val="楷体"/>
    <w:panose1 w:val="00000000000000000000"/>
    <w:charset w:val="00"/>
    <w:family w:val="auto"/>
    <w:pitch w:val="default"/>
    <w:sig w:usb0="00000000" w:usb1="00000000" w:usb2="00000000" w:usb3="00000000" w:csb0="00000000" w:csb1="00000000"/>
  </w:font>
  <w:font w:name="KSOFF9CBECC6">
    <w:panose1 w:val="02010609060101010101"/>
    <w:charset w:val="86"/>
    <w:family w:val="auto"/>
    <w:pitch w:val="default"/>
    <w:sig w:usb0="00000001" w:usb1="00000000" w:usb2="00000000"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213316374"/>
      <w:docPartObj>
        <w:docPartGallery w:val="autotext"/>
      </w:docPartObj>
    </w:sdtPr>
    <w:sdtContent>
      <w:p w14:paraId="2BE1229F">
        <w:pPr>
          <w:pStyle w:val="3"/>
          <w:jc w:val="center"/>
        </w:pPr>
        <w:r>
          <w:fldChar w:fldCharType="begin"/>
        </w:r>
        <w:r>
          <w:instrText xml:space="preserve">PAGE   \* MERGEFORMAT</w:instrText>
        </w:r>
        <w:r>
          <w:fldChar w:fldCharType="separate"/>
        </w:r>
        <w:r>
          <w:rPr>
            <w:lang w:val="zh-CN"/>
          </w:rPr>
          <w:t>7</w:t>
        </w:r>
        <w:r>
          <w:fldChar w:fldCharType="end"/>
        </w:r>
      </w:p>
    </w:sdtContent>
  </w:sdt>
  <w:p w14:paraId="76F9E80E">
    <w:pPr>
      <w:pStyle w:val="3"/>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ind w:firstLine="640"/>
      </w:pPr>
      <w:r>
        <w:separator/>
      </w:r>
    </w:p>
  </w:footnote>
  <w:footnote w:type="continuationSeparator" w:id="1">
    <w:p>
      <w:pPr>
        <w:ind w:firstLine="64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79102AD"/>
    <w:multiLevelType w:val="multilevel"/>
    <w:tmpl w:val="079102AD"/>
    <w:lvl w:ilvl="0" w:tentative="0">
      <w:start w:val="1"/>
      <w:numFmt w:val="decimal"/>
      <w:pStyle w:val="20"/>
      <w:suff w:val="nothing"/>
      <w:lvlText w:val="注%1："/>
      <w:lvlJc w:val="left"/>
      <w:pPr>
        <w:ind w:left="811" w:hanging="448"/>
      </w:pPr>
      <w:rPr>
        <w:rFonts w:hint="eastAsia" w:ascii="黑体" w:eastAsia="黑体"/>
        <w:b w:val="0"/>
        <w:i w:val="0"/>
        <w:sz w:val="18"/>
        <w:lang w:val="en-US"/>
      </w:rPr>
    </w:lvl>
    <w:lvl w:ilvl="1" w:tentative="0">
      <w:start w:val="1"/>
      <w:numFmt w:val="lowerLetter"/>
      <w:lvlText w:val="%2)"/>
      <w:lvlJc w:val="left"/>
      <w:pPr>
        <w:tabs>
          <w:tab w:val="left" w:pos="0"/>
        </w:tabs>
        <w:ind w:left="992" w:hanging="629"/>
      </w:pPr>
      <w:rPr>
        <w:rFonts w:hint="eastAsia"/>
      </w:rPr>
    </w:lvl>
    <w:lvl w:ilvl="2" w:tentative="0">
      <w:start w:val="1"/>
      <w:numFmt w:val="lowerRoman"/>
      <w:lvlText w:val="%3."/>
      <w:lvlJc w:val="right"/>
      <w:pPr>
        <w:tabs>
          <w:tab w:val="left" w:pos="0"/>
        </w:tabs>
        <w:ind w:left="992" w:hanging="629"/>
      </w:pPr>
      <w:rPr>
        <w:rFonts w:hint="eastAsia"/>
      </w:rPr>
    </w:lvl>
    <w:lvl w:ilvl="3" w:tentative="0">
      <w:start w:val="1"/>
      <w:numFmt w:val="decimal"/>
      <w:lvlText w:val="%4."/>
      <w:lvlJc w:val="left"/>
      <w:pPr>
        <w:tabs>
          <w:tab w:val="left" w:pos="0"/>
        </w:tabs>
        <w:ind w:left="992" w:hanging="629"/>
      </w:pPr>
      <w:rPr>
        <w:rFonts w:hint="eastAsia"/>
      </w:rPr>
    </w:lvl>
    <w:lvl w:ilvl="4" w:tentative="0">
      <w:start w:val="1"/>
      <w:numFmt w:val="lowerLetter"/>
      <w:lvlText w:val="%5)"/>
      <w:lvlJc w:val="left"/>
      <w:pPr>
        <w:tabs>
          <w:tab w:val="left" w:pos="0"/>
        </w:tabs>
        <w:ind w:left="992" w:hanging="629"/>
      </w:pPr>
      <w:rPr>
        <w:rFonts w:hint="eastAsia"/>
      </w:rPr>
    </w:lvl>
    <w:lvl w:ilvl="5" w:tentative="0">
      <w:start w:val="1"/>
      <w:numFmt w:val="lowerRoman"/>
      <w:lvlText w:val="%6."/>
      <w:lvlJc w:val="right"/>
      <w:pPr>
        <w:tabs>
          <w:tab w:val="left" w:pos="0"/>
        </w:tabs>
        <w:ind w:left="992" w:hanging="629"/>
      </w:pPr>
      <w:rPr>
        <w:rFonts w:hint="eastAsia"/>
      </w:rPr>
    </w:lvl>
    <w:lvl w:ilvl="6" w:tentative="0">
      <w:start w:val="1"/>
      <w:numFmt w:val="decimal"/>
      <w:lvlText w:val="%7."/>
      <w:lvlJc w:val="left"/>
      <w:pPr>
        <w:tabs>
          <w:tab w:val="left" w:pos="0"/>
        </w:tabs>
        <w:ind w:left="992" w:hanging="629"/>
      </w:pPr>
      <w:rPr>
        <w:rFonts w:hint="eastAsia"/>
      </w:rPr>
    </w:lvl>
    <w:lvl w:ilvl="7" w:tentative="0">
      <w:start w:val="1"/>
      <w:numFmt w:val="lowerLetter"/>
      <w:lvlText w:val="%8)"/>
      <w:lvlJc w:val="left"/>
      <w:pPr>
        <w:tabs>
          <w:tab w:val="left" w:pos="0"/>
        </w:tabs>
        <w:ind w:left="992" w:hanging="629"/>
      </w:pPr>
      <w:rPr>
        <w:rFonts w:hint="eastAsia"/>
      </w:rPr>
    </w:lvl>
    <w:lvl w:ilvl="8" w:tentative="0">
      <w:start w:val="1"/>
      <w:numFmt w:val="lowerRoman"/>
      <w:lvlText w:val="%9."/>
      <w:lvlJc w:val="right"/>
      <w:pPr>
        <w:tabs>
          <w:tab w:val="left" w:pos="0"/>
        </w:tabs>
        <w:ind w:left="992" w:hanging="629"/>
      </w:pPr>
      <w:rPr>
        <w:rFonts w:hint="eastAsia"/>
      </w:rPr>
    </w:lvl>
  </w:abstractNum>
  <w:abstractNum w:abstractNumId="1">
    <w:nsid w:val="0DDE2B46"/>
    <w:multiLevelType w:val="multilevel"/>
    <w:tmpl w:val="0DDE2B46"/>
    <w:lvl w:ilvl="0" w:tentative="0">
      <w:start w:val="1"/>
      <w:numFmt w:val="lowerLetter"/>
      <w:pStyle w:val="24"/>
      <w:suff w:val="nothing"/>
      <w:lvlText w:val="%1   "/>
      <w:lvlJc w:val="left"/>
      <w:pPr>
        <w:ind w:left="544" w:hanging="181"/>
      </w:pPr>
      <w:rPr>
        <w:rFonts w:hint="eastAsia" w:ascii="宋体" w:hAnsi="宋体" w:eastAsia="宋体"/>
        <w:b w:val="0"/>
        <w:i w:val="0"/>
        <w:sz w:val="18"/>
        <w:vertAlign w:val="superscript"/>
      </w:rPr>
    </w:lvl>
    <w:lvl w:ilvl="1" w:tentative="0">
      <w:start w:val="1"/>
      <w:numFmt w:val="lowerLetter"/>
      <w:lvlText w:val="%2"/>
      <w:lvlJc w:val="left"/>
      <w:pPr>
        <w:tabs>
          <w:tab w:val="left" w:pos="57"/>
        </w:tabs>
        <w:ind w:left="363" w:hanging="363"/>
      </w:pPr>
      <w:rPr>
        <w:rFonts w:hint="eastAsia"/>
      </w:rPr>
    </w:lvl>
    <w:lvl w:ilvl="2" w:tentative="0">
      <w:start w:val="1"/>
      <w:numFmt w:val="lowerRoman"/>
      <w:lvlText w:val="%3."/>
      <w:lvlJc w:val="right"/>
      <w:pPr>
        <w:tabs>
          <w:tab w:val="left" w:pos="57"/>
        </w:tabs>
        <w:ind w:left="363" w:hanging="363"/>
      </w:pPr>
      <w:rPr>
        <w:rFonts w:hint="eastAsia"/>
      </w:rPr>
    </w:lvl>
    <w:lvl w:ilvl="3" w:tentative="0">
      <w:start w:val="1"/>
      <w:numFmt w:val="decimal"/>
      <w:lvlText w:val="%4."/>
      <w:lvlJc w:val="left"/>
      <w:pPr>
        <w:tabs>
          <w:tab w:val="left" w:pos="57"/>
        </w:tabs>
        <w:ind w:left="363" w:hanging="363"/>
      </w:pPr>
      <w:rPr>
        <w:rFonts w:hint="eastAsia"/>
      </w:rPr>
    </w:lvl>
    <w:lvl w:ilvl="4" w:tentative="0">
      <w:start w:val="1"/>
      <w:numFmt w:val="lowerLetter"/>
      <w:lvlText w:val="%5)"/>
      <w:lvlJc w:val="left"/>
      <w:pPr>
        <w:tabs>
          <w:tab w:val="left" w:pos="57"/>
        </w:tabs>
        <w:ind w:left="363" w:hanging="363"/>
      </w:pPr>
      <w:rPr>
        <w:rFonts w:hint="eastAsia"/>
      </w:rPr>
    </w:lvl>
    <w:lvl w:ilvl="5" w:tentative="0">
      <w:start w:val="1"/>
      <w:numFmt w:val="lowerRoman"/>
      <w:lvlText w:val="%6."/>
      <w:lvlJc w:val="right"/>
      <w:pPr>
        <w:tabs>
          <w:tab w:val="left" w:pos="57"/>
        </w:tabs>
        <w:ind w:left="363" w:hanging="363"/>
      </w:pPr>
      <w:rPr>
        <w:rFonts w:hint="eastAsia"/>
      </w:rPr>
    </w:lvl>
    <w:lvl w:ilvl="6" w:tentative="0">
      <w:start w:val="1"/>
      <w:numFmt w:val="decimal"/>
      <w:lvlText w:val="%7."/>
      <w:lvlJc w:val="left"/>
      <w:pPr>
        <w:tabs>
          <w:tab w:val="left" w:pos="57"/>
        </w:tabs>
        <w:ind w:left="363" w:hanging="363"/>
      </w:pPr>
      <w:rPr>
        <w:rFonts w:hint="eastAsia"/>
      </w:rPr>
    </w:lvl>
    <w:lvl w:ilvl="7" w:tentative="0">
      <w:start w:val="1"/>
      <w:numFmt w:val="lowerLetter"/>
      <w:lvlText w:val="%8)"/>
      <w:lvlJc w:val="left"/>
      <w:pPr>
        <w:tabs>
          <w:tab w:val="left" w:pos="57"/>
        </w:tabs>
        <w:ind w:left="363" w:hanging="363"/>
      </w:pPr>
      <w:rPr>
        <w:rFonts w:hint="eastAsia"/>
      </w:rPr>
    </w:lvl>
    <w:lvl w:ilvl="8" w:tentative="0">
      <w:start w:val="1"/>
      <w:numFmt w:val="lowerRoman"/>
      <w:lvlText w:val="%9."/>
      <w:lvlJc w:val="right"/>
      <w:pPr>
        <w:tabs>
          <w:tab w:val="left" w:pos="57"/>
        </w:tabs>
        <w:ind w:left="363" w:hanging="363"/>
      </w:pPr>
      <w:rPr>
        <w:rFonts w:hint="eastAsia"/>
      </w:rPr>
    </w:lvl>
  </w:abstractNum>
  <w:abstractNum w:abstractNumId="2">
    <w:nsid w:val="1DBF583A"/>
    <w:multiLevelType w:val="multilevel"/>
    <w:tmpl w:val="1DBF583A"/>
    <w:lvl w:ilvl="0" w:tentative="0">
      <w:start w:val="1"/>
      <w:numFmt w:val="decimal"/>
      <w:pStyle w:val="23"/>
      <w:suff w:val="nothing"/>
      <w:lvlText w:val="注%1："/>
      <w:lvlJc w:val="left"/>
      <w:pPr>
        <w:ind w:left="811" w:hanging="448"/>
      </w:pPr>
      <w:rPr>
        <w:rFonts w:hint="eastAsia" w:ascii="黑体" w:eastAsia="黑体"/>
        <w:b w:val="0"/>
        <w:i w:val="0"/>
        <w:sz w:val="18"/>
        <w:szCs w:val="18"/>
        <w:vertAlign w:val="baseline"/>
      </w:rPr>
    </w:lvl>
    <w:lvl w:ilvl="1" w:tentative="0">
      <w:start w:val="1"/>
      <w:numFmt w:val="lowerLetter"/>
      <w:lvlText w:val="%2)"/>
      <w:lvlJc w:val="left"/>
      <w:pPr>
        <w:tabs>
          <w:tab w:val="left" w:pos="180"/>
        </w:tabs>
        <w:ind w:left="1172" w:hanging="629"/>
      </w:pPr>
      <w:rPr>
        <w:rFonts w:hint="eastAsia"/>
        <w:vertAlign w:val="baseline"/>
      </w:rPr>
    </w:lvl>
    <w:lvl w:ilvl="2" w:tentative="0">
      <w:start w:val="1"/>
      <w:numFmt w:val="lowerRoman"/>
      <w:lvlText w:val="%3."/>
      <w:lvlJc w:val="right"/>
      <w:pPr>
        <w:tabs>
          <w:tab w:val="left" w:pos="180"/>
        </w:tabs>
        <w:ind w:left="1172" w:hanging="629"/>
      </w:pPr>
      <w:rPr>
        <w:rFonts w:hint="eastAsia"/>
        <w:vertAlign w:val="baseline"/>
      </w:rPr>
    </w:lvl>
    <w:lvl w:ilvl="3" w:tentative="0">
      <w:start w:val="1"/>
      <w:numFmt w:val="decimal"/>
      <w:lvlText w:val="%4."/>
      <w:lvlJc w:val="left"/>
      <w:pPr>
        <w:tabs>
          <w:tab w:val="left" w:pos="180"/>
        </w:tabs>
        <w:ind w:left="1172" w:hanging="629"/>
      </w:pPr>
      <w:rPr>
        <w:rFonts w:hint="eastAsia"/>
        <w:vertAlign w:val="baseline"/>
      </w:rPr>
    </w:lvl>
    <w:lvl w:ilvl="4" w:tentative="0">
      <w:start w:val="1"/>
      <w:numFmt w:val="lowerLetter"/>
      <w:lvlText w:val="%5)"/>
      <w:lvlJc w:val="left"/>
      <w:pPr>
        <w:tabs>
          <w:tab w:val="left" w:pos="180"/>
        </w:tabs>
        <w:ind w:left="1172" w:hanging="629"/>
      </w:pPr>
      <w:rPr>
        <w:rFonts w:hint="eastAsia"/>
        <w:vertAlign w:val="baseline"/>
      </w:rPr>
    </w:lvl>
    <w:lvl w:ilvl="5" w:tentative="0">
      <w:start w:val="1"/>
      <w:numFmt w:val="lowerRoman"/>
      <w:lvlText w:val="%6."/>
      <w:lvlJc w:val="right"/>
      <w:pPr>
        <w:tabs>
          <w:tab w:val="left" w:pos="180"/>
        </w:tabs>
        <w:ind w:left="1172" w:hanging="629"/>
      </w:pPr>
      <w:rPr>
        <w:rFonts w:hint="eastAsia"/>
        <w:vertAlign w:val="baseline"/>
      </w:rPr>
    </w:lvl>
    <w:lvl w:ilvl="6" w:tentative="0">
      <w:start w:val="1"/>
      <w:numFmt w:val="decimal"/>
      <w:lvlText w:val="%7."/>
      <w:lvlJc w:val="left"/>
      <w:pPr>
        <w:tabs>
          <w:tab w:val="left" w:pos="180"/>
        </w:tabs>
        <w:ind w:left="1172" w:hanging="629"/>
      </w:pPr>
      <w:rPr>
        <w:rFonts w:hint="eastAsia"/>
        <w:vertAlign w:val="baseline"/>
      </w:rPr>
    </w:lvl>
    <w:lvl w:ilvl="7" w:tentative="0">
      <w:start w:val="1"/>
      <w:numFmt w:val="lowerLetter"/>
      <w:lvlText w:val="%8)"/>
      <w:lvlJc w:val="left"/>
      <w:pPr>
        <w:tabs>
          <w:tab w:val="left" w:pos="180"/>
        </w:tabs>
        <w:ind w:left="1172" w:hanging="629"/>
      </w:pPr>
      <w:rPr>
        <w:rFonts w:hint="eastAsia"/>
        <w:vertAlign w:val="baseline"/>
      </w:rPr>
    </w:lvl>
    <w:lvl w:ilvl="8" w:tentative="0">
      <w:start w:val="1"/>
      <w:numFmt w:val="lowerRoman"/>
      <w:lvlText w:val="%9."/>
      <w:lvlJc w:val="right"/>
      <w:pPr>
        <w:tabs>
          <w:tab w:val="left" w:pos="180"/>
        </w:tabs>
        <w:ind w:left="1172" w:hanging="629"/>
      </w:pPr>
      <w:rPr>
        <w:rFonts w:hint="eastAsia"/>
        <w:vertAlign w:val="baseline"/>
      </w:rPr>
    </w:lvl>
  </w:abstractNum>
  <w:abstractNum w:abstractNumId="3">
    <w:nsid w:val="1FC91163"/>
    <w:multiLevelType w:val="multilevel"/>
    <w:tmpl w:val="1FC91163"/>
    <w:lvl w:ilvl="0" w:tentative="0">
      <w:start w:val="1"/>
      <w:numFmt w:val="decimal"/>
      <w:pStyle w:val="15"/>
      <w:suff w:val="nothing"/>
      <w:lvlText w:val="%1　"/>
      <w:lvlJc w:val="left"/>
      <w:pPr>
        <w:ind w:left="0" w:firstLine="0"/>
      </w:pPr>
      <w:rPr>
        <w:rFonts w:hint="eastAsia" w:ascii="黑体" w:hAnsi="Times New Roman" w:eastAsia="黑体"/>
        <w:b w:val="0"/>
        <w:i w:val="0"/>
        <w:sz w:val="21"/>
        <w:szCs w:val="21"/>
      </w:rPr>
    </w:lvl>
    <w:lvl w:ilvl="1" w:tentative="0">
      <w:start w:val="1"/>
      <w:numFmt w:val="decimal"/>
      <w:pStyle w:val="14"/>
      <w:suff w:val="nothing"/>
      <w:lvlText w:val="%1.%2　"/>
      <w:lvlJc w:val="left"/>
      <w:pPr>
        <w:ind w:left="525" w:firstLine="0"/>
      </w:pPr>
      <w:rPr>
        <w:rFonts w:hint="eastAsia" w:ascii="黑体" w:hAnsi="Times New Roman" w:eastAsia="黑体" w:cs="Times New Roman"/>
        <w:b w:val="0"/>
        <w:bCs w:val="0"/>
        <w:i w:val="0"/>
        <w:iCs w:val="0"/>
        <w:caps w:val="0"/>
        <w:strike w:val="0"/>
        <w:dstrike w:val="0"/>
        <w:vanish w:val="0"/>
        <w:color w:val="000000"/>
        <w:spacing w:val="0"/>
        <w:kern w:val="0"/>
        <w:position w:val="0"/>
        <w:sz w:val="21"/>
        <w:szCs w:val="21"/>
        <w:u w:val="none"/>
        <w:vertAlign w:val="baseline"/>
        <w14:shadow w14:blurRad="0" w14:dist="0" w14:dir="0" w14:sx="0" w14:sy="0" w14:kx="0" w14:ky="0" w14:algn="none">
          <w14:srgbClr w14:val="000000"/>
        </w14:shadow>
      </w:rPr>
    </w:lvl>
    <w:lvl w:ilvl="2" w:tentative="0">
      <w:start w:val="1"/>
      <w:numFmt w:val="decimal"/>
      <w:pStyle w:val="16"/>
      <w:suff w:val="nothing"/>
      <w:lvlText w:val="%1.%2.%3　"/>
      <w:lvlJc w:val="left"/>
      <w:pPr>
        <w:ind w:left="0" w:firstLine="0"/>
      </w:pPr>
      <w:rPr>
        <w:rFonts w:hint="eastAsia" w:ascii="黑体" w:hAnsi="Times New Roman" w:eastAsia="黑体"/>
        <w:b w:val="0"/>
        <w:i w:val="0"/>
        <w:sz w:val="21"/>
      </w:rPr>
    </w:lvl>
    <w:lvl w:ilvl="3" w:tentative="0">
      <w:start w:val="1"/>
      <w:numFmt w:val="decimal"/>
      <w:pStyle w:val="17"/>
      <w:suff w:val="nothing"/>
      <w:lvlText w:val="%1.%2.%3.%4　"/>
      <w:lvlJc w:val="left"/>
      <w:pPr>
        <w:ind w:left="0" w:firstLine="0"/>
      </w:pPr>
      <w:rPr>
        <w:rFonts w:hint="eastAsia" w:ascii="黑体" w:hAnsi="Times New Roman" w:eastAsia="黑体"/>
        <w:b w:val="0"/>
        <w:i w:val="0"/>
        <w:sz w:val="21"/>
      </w:rPr>
    </w:lvl>
    <w:lvl w:ilvl="4" w:tentative="0">
      <w:start w:val="1"/>
      <w:numFmt w:val="decimal"/>
      <w:pStyle w:val="18"/>
      <w:suff w:val="nothing"/>
      <w:lvlText w:val="%1.%2.%3.%4.%5　"/>
      <w:lvlJc w:val="left"/>
      <w:pPr>
        <w:ind w:left="0" w:firstLine="0"/>
      </w:pPr>
      <w:rPr>
        <w:rFonts w:hint="eastAsia" w:ascii="黑体" w:hAnsi="Times New Roman" w:eastAsia="黑体"/>
        <w:b w:val="0"/>
        <w:i w:val="0"/>
        <w:sz w:val="21"/>
      </w:rPr>
    </w:lvl>
    <w:lvl w:ilvl="5" w:tentative="0">
      <w:start w:val="1"/>
      <w:numFmt w:val="decimal"/>
      <w:pStyle w:val="19"/>
      <w:suff w:val="nothing"/>
      <w:lvlText w:val="%1.%2.%3.%4.%5.%6　"/>
      <w:lvlJc w:val="left"/>
      <w:pPr>
        <w:ind w:left="0" w:firstLine="0"/>
      </w:pPr>
      <w:rPr>
        <w:rFonts w:hint="eastAsia" w:ascii="黑体" w:hAnsi="Times New Roman" w:eastAsia="黑体"/>
        <w:b w:val="0"/>
        <w:i w:val="0"/>
        <w:sz w:val="21"/>
      </w:rPr>
    </w:lvl>
    <w:lvl w:ilvl="6" w:tentative="0">
      <w:start w:val="1"/>
      <w:numFmt w:val="decimal"/>
      <w:suff w:val="nothing"/>
      <w:lvlText w:val="%1%2.%3.%4.%5.%6.%7　"/>
      <w:lvlJc w:val="left"/>
      <w:pPr>
        <w:ind w:left="0" w:firstLine="0"/>
      </w:pPr>
      <w:rPr>
        <w:rFonts w:hint="eastAsia" w:ascii="黑体" w:hAnsi="Times New Roman" w:eastAsia="黑体"/>
        <w:b w:val="0"/>
        <w:i w:val="0"/>
        <w:sz w:val="21"/>
      </w:rPr>
    </w:lvl>
    <w:lvl w:ilvl="7" w:tentative="0">
      <w:start w:val="1"/>
      <w:numFmt w:val="decimal"/>
      <w:lvlText w:val="%1.%2.%3.%4.%5.%6.%7.%8"/>
      <w:lvlJc w:val="left"/>
      <w:pPr>
        <w:tabs>
          <w:tab w:val="left" w:pos="4351"/>
        </w:tabs>
        <w:ind w:left="3969" w:hanging="1418"/>
      </w:pPr>
      <w:rPr>
        <w:rFonts w:hint="eastAsia"/>
      </w:rPr>
    </w:lvl>
    <w:lvl w:ilvl="8" w:tentative="0">
      <w:start w:val="1"/>
      <w:numFmt w:val="decimal"/>
      <w:lvlText w:val="%1.%2.%3.%4.%5.%6.%7.%8.%9"/>
      <w:lvlJc w:val="left"/>
      <w:pPr>
        <w:tabs>
          <w:tab w:val="left" w:pos="4777"/>
        </w:tabs>
        <w:ind w:left="4677" w:hanging="1700"/>
      </w:pPr>
      <w:rPr>
        <w:rFonts w:hint="eastAsia"/>
      </w:rPr>
    </w:lvl>
  </w:abstractNum>
  <w:abstractNum w:abstractNumId="4">
    <w:nsid w:val="2A8F7113"/>
    <w:multiLevelType w:val="multilevel"/>
    <w:tmpl w:val="2A8F7113"/>
    <w:lvl w:ilvl="0" w:tentative="0">
      <w:start w:val="1"/>
      <w:numFmt w:val="upperLetter"/>
      <w:pStyle w:val="21"/>
      <w:suff w:val="space"/>
      <w:lvlText w:val="%1"/>
      <w:lvlJc w:val="left"/>
      <w:pPr>
        <w:ind w:left="623" w:hanging="425"/>
      </w:pPr>
      <w:rPr>
        <w:rFonts w:hint="eastAsia"/>
      </w:rPr>
    </w:lvl>
    <w:lvl w:ilvl="1" w:tentative="0">
      <w:start w:val="1"/>
      <w:numFmt w:val="decimal"/>
      <w:pStyle w:val="22"/>
      <w:suff w:val="nothing"/>
      <w:lvlText w:val="图%1.%2　"/>
      <w:lvlJc w:val="left"/>
      <w:pPr>
        <w:ind w:left="1190" w:hanging="567"/>
      </w:pPr>
      <w:rPr>
        <w:rFonts w:hint="eastAsia"/>
      </w:rPr>
    </w:lvl>
    <w:lvl w:ilvl="2" w:tentative="0">
      <w:start w:val="1"/>
      <w:numFmt w:val="decimal"/>
      <w:lvlText w:val="%1.%2.%3"/>
      <w:lvlJc w:val="left"/>
      <w:pPr>
        <w:tabs>
          <w:tab w:val="left" w:pos="1616"/>
        </w:tabs>
        <w:ind w:left="1616" w:hanging="567"/>
      </w:pPr>
      <w:rPr>
        <w:rFonts w:hint="eastAsia"/>
      </w:rPr>
    </w:lvl>
    <w:lvl w:ilvl="3" w:tentative="0">
      <w:start w:val="1"/>
      <w:numFmt w:val="decimal"/>
      <w:lvlText w:val="%1.%2.%3.%4"/>
      <w:lvlJc w:val="left"/>
      <w:pPr>
        <w:tabs>
          <w:tab w:val="left" w:pos="2914"/>
        </w:tabs>
        <w:ind w:left="2182" w:hanging="708"/>
      </w:pPr>
      <w:rPr>
        <w:rFonts w:hint="eastAsia"/>
      </w:rPr>
    </w:lvl>
    <w:lvl w:ilvl="4" w:tentative="0">
      <w:start w:val="1"/>
      <w:numFmt w:val="decimal"/>
      <w:lvlText w:val="%1.%2.%3.%4.%5"/>
      <w:lvlJc w:val="left"/>
      <w:pPr>
        <w:tabs>
          <w:tab w:val="left" w:pos="3699"/>
        </w:tabs>
        <w:ind w:left="2749" w:hanging="850"/>
      </w:pPr>
      <w:rPr>
        <w:rFonts w:hint="eastAsia"/>
      </w:rPr>
    </w:lvl>
    <w:lvl w:ilvl="5" w:tentative="0">
      <w:start w:val="1"/>
      <w:numFmt w:val="decimal"/>
      <w:lvlText w:val="%1.%2.%3.%4.%5.%6"/>
      <w:lvlJc w:val="left"/>
      <w:pPr>
        <w:tabs>
          <w:tab w:val="left" w:pos="4484"/>
        </w:tabs>
        <w:ind w:left="3458" w:hanging="1134"/>
      </w:pPr>
      <w:rPr>
        <w:rFonts w:hint="eastAsia"/>
      </w:rPr>
    </w:lvl>
    <w:lvl w:ilvl="6" w:tentative="0">
      <w:start w:val="1"/>
      <w:numFmt w:val="decimal"/>
      <w:lvlText w:val="%1.%2.%3.%4.%5.%6.%7"/>
      <w:lvlJc w:val="left"/>
      <w:pPr>
        <w:tabs>
          <w:tab w:val="left" w:pos="5269"/>
        </w:tabs>
        <w:ind w:left="4025" w:hanging="1276"/>
      </w:pPr>
      <w:rPr>
        <w:rFonts w:hint="eastAsia"/>
      </w:rPr>
    </w:lvl>
    <w:lvl w:ilvl="7" w:tentative="0">
      <w:start w:val="1"/>
      <w:numFmt w:val="decimal"/>
      <w:lvlText w:val="%1.%2.%3.%4.%5.%6.%7.%8"/>
      <w:lvlJc w:val="left"/>
      <w:pPr>
        <w:tabs>
          <w:tab w:val="left" w:pos="6054"/>
        </w:tabs>
        <w:ind w:left="4592" w:hanging="1418"/>
      </w:pPr>
      <w:rPr>
        <w:rFonts w:hint="eastAsia"/>
      </w:rPr>
    </w:lvl>
    <w:lvl w:ilvl="8" w:tentative="0">
      <w:start w:val="1"/>
      <w:numFmt w:val="decimal"/>
      <w:lvlText w:val="%1.%2.%3.%4.%5.%6.%7.%8.%9"/>
      <w:lvlJc w:val="left"/>
      <w:pPr>
        <w:tabs>
          <w:tab w:val="left" w:pos="6840"/>
        </w:tabs>
        <w:ind w:left="5300" w:hanging="1700"/>
      </w:pPr>
      <w:rPr>
        <w:rFonts w:hint="eastAsia"/>
      </w:rPr>
    </w:lvl>
  </w:abstractNum>
  <w:abstractNum w:abstractNumId="5">
    <w:nsid w:val="557C2AF5"/>
    <w:multiLevelType w:val="multilevel"/>
    <w:tmpl w:val="557C2AF5"/>
    <w:lvl w:ilvl="0" w:tentative="0">
      <w:start w:val="1"/>
      <w:numFmt w:val="decimal"/>
      <w:pStyle w:val="13"/>
      <w:suff w:val="nothing"/>
      <w:lvlText w:val="图%1　"/>
      <w:lvlJc w:val="left"/>
      <w:pPr>
        <w:ind w:left="0" w:firstLine="0"/>
      </w:pPr>
      <w:rPr>
        <w:rFonts w:hint="eastAsia" w:ascii="黑体" w:hAnsi="Times New Roman" w:eastAsia="黑体"/>
        <w:b w:val="0"/>
        <w:i w:val="0"/>
        <w:sz w:val="21"/>
      </w:rPr>
    </w:lvl>
    <w:lvl w:ilvl="1" w:tentative="0">
      <w:start w:val="1"/>
      <w:numFmt w:val="decimal"/>
      <w:suff w:val="nothing"/>
      <w:lvlText w:val="%1%2　"/>
      <w:lvlJc w:val="left"/>
      <w:pPr>
        <w:ind w:left="0" w:firstLine="0"/>
      </w:pPr>
      <w:rPr>
        <w:rFonts w:hint="default" w:ascii="Times New Roman" w:hAnsi="Times New Roman" w:eastAsia="黑体"/>
        <w:b w:val="0"/>
        <w:i w:val="0"/>
        <w:sz w:val="21"/>
      </w:rPr>
    </w:lvl>
    <w:lvl w:ilvl="2" w:tentative="0">
      <w:start w:val="1"/>
      <w:numFmt w:val="decimal"/>
      <w:suff w:val="nothing"/>
      <w:lvlText w:val="%1%2.%3　"/>
      <w:lvlJc w:val="left"/>
      <w:pPr>
        <w:ind w:left="0" w:firstLine="0"/>
      </w:pPr>
      <w:rPr>
        <w:rFonts w:hint="default" w:ascii="Times New Roman" w:hAnsi="Times New Roman" w:eastAsia="黑体"/>
        <w:b w:val="0"/>
        <w:i w:val="0"/>
        <w:sz w:val="21"/>
      </w:rPr>
    </w:lvl>
    <w:lvl w:ilvl="3" w:tentative="0">
      <w:start w:val="1"/>
      <w:numFmt w:val="decimal"/>
      <w:suff w:val="nothing"/>
      <w:lvlText w:val="%1%2.%3.%4　"/>
      <w:lvlJc w:val="left"/>
      <w:pPr>
        <w:ind w:left="0" w:firstLine="0"/>
      </w:pPr>
      <w:rPr>
        <w:rFonts w:hint="default" w:ascii="Times New Roman" w:hAnsi="Times New Roman" w:eastAsia="黑体"/>
        <w:b w:val="0"/>
        <w:i w:val="0"/>
        <w:sz w:val="21"/>
      </w:rPr>
    </w:lvl>
    <w:lvl w:ilvl="4" w:tentative="0">
      <w:start w:val="1"/>
      <w:numFmt w:val="decimal"/>
      <w:suff w:val="nothing"/>
      <w:lvlText w:val="%1%2.%3.%4.%5　"/>
      <w:lvlJc w:val="left"/>
      <w:pPr>
        <w:ind w:left="0" w:firstLine="0"/>
      </w:pPr>
      <w:rPr>
        <w:rFonts w:hint="default" w:ascii="Times New Roman" w:hAnsi="Times New Roman" w:eastAsia="黑体"/>
        <w:b w:val="0"/>
        <w:i w:val="0"/>
        <w:sz w:val="21"/>
      </w:rPr>
    </w:lvl>
    <w:lvl w:ilvl="5" w:tentative="0">
      <w:start w:val="1"/>
      <w:numFmt w:val="decimal"/>
      <w:suff w:val="nothing"/>
      <w:lvlText w:val="%1%2.%3.%4.%5.%6　"/>
      <w:lvlJc w:val="left"/>
      <w:pPr>
        <w:ind w:left="0" w:firstLine="0"/>
      </w:pPr>
      <w:rPr>
        <w:rFonts w:hint="default" w:ascii="Times New Roman" w:hAnsi="Times New Roman" w:eastAsia="黑体"/>
        <w:b w:val="0"/>
        <w:i w:val="0"/>
        <w:sz w:val="21"/>
      </w:rPr>
    </w:lvl>
    <w:lvl w:ilvl="6" w:tentative="0">
      <w:start w:val="1"/>
      <w:numFmt w:val="decimal"/>
      <w:suff w:val="nothing"/>
      <w:lvlText w:val="%1%2.%3.%4.%5.%6.%7　"/>
      <w:lvlJc w:val="left"/>
      <w:pPr>
        <w:ind w:left="0" w:firstLine="0"/>
      </w:pPr>
      <w:rPr>
        <w:rFonts w:hint="default" w:ascii="Times New Roman" w:hAnsi="Times New Roman" w:eastAsia="黑体"/>
        <w:b w:val="0"/>
        <w:i w:val="0"/>
        <w:sz w:val="21"/>
      </w:rPr>
    </w:lvl>
    <w:lvl w:ilvl="7" w:tentative="0">
      <w:start w:val="1"/>
      <w:numFmt w:val="decimal"/>
      <w:lvlText w:val="%1.%2.%3.%4.%5.%6.%7.%8"/>
      <w:lvlJc w:val="left"/>
      <w:pPr>
        <w:tabs>
          <w:tab w:val="left" w:pos="4351"/>
        </w:tabs>
        <w:ind w:left="3969" w:hanging="1418"/>
      </w:pPr>
      <w:rPr>
        <w:rFonts w:hint="eastAsia"/>
      </w:rPr>
    </w:lvl>
    <w:lvl w:ilvl="8" w:tentative="0">
      <w:start w:val="1"/>
      <w:numFmt w:val="decimal"/>
      <w:lvlText w:val="%1.%2.%3.%4.%5.%6.%7.%8.%9"/>
      <w:lvlJc w:val="left"/>
      <w:pPr>
        <w:tabs>
          <w:tab w:val="left" w:pos="4777"/>
        </w:tabs>
        <w:ind w:left="4677" w:hanging="1700"/>
      </w:pPr>
      <w:rPr>
        <w:rFonts w:hint="eastAsia"/>
      </w:rPr>
    </w:lvl>
  </w:abstractNum>
  <w:abstractNum w:abstractNumId="6">
    <w:nsid w:val="60B55DC2"/>
    <w:multiLevelType w:val="multilevel"/>
    <w:tmpl w:val="60B55DC2"/>
    <w:lvl w:ilvl="0" w:tentative="0">
      <w:start w:val="1"/>
      <w:numFmt w:val="upperLetter"/>
      <w:lvlText w:val="%1"/>
      <w:lvlJc w:val="left"/>
      <w:pPr>
        <w:tabs>
          <w:tab w:val="left" w:pos="0"/>
        </w:tabs>
        <w:ind w:left="0" w:hanging="425"/>
      </w:pPr>
      <w:rPr>
        <w:rFonts w:hint="eastAsia"/>
      </w:rPr>
    </w:lvl>
    <w:lvl w:ilvl="1" w:tentative="0">
      <w:start w:val="1"/>
      <w:numFmt w:val="decimal"/>
      <w:pStyle w:val="28"/>
      <w:suff w:val="nothing"/>
      <w:lvlText w:val="表%1.%2　"/>
      <w:lvlJc w:val="left"/>
      <w:pPr>
        <w:ind w:left="567" w:hanging="567"/>
      </w:pPr>
      <w:rPr>
        <w:rFonts w:hint="eastAsia"/>
      </w:rPr>
    </w:lvl>
    <w:lvl w:ilvl="2" w:tentative="0">
      <w:start w:val="1"/>
      <w:numFmt w:val="decimal"/>
      <w:lvlText w:val="%1.%2.%3"/>
      <w:lvlJc w:val="left"/>
      <w:pPr>
        <w:tabs>
          <w:tab w:val="left" w:pos="993"/>
        </w:tabs>
        <w:ind w:left="993" w:hanging="567"/>
      </w:pPr>
      <w:rPr>
        <w:rFonts w:hint="eastAsia"/>
      </w:rPr>
    </w:lvl>
    <w:lvl w:ilvl="3" w:tentative="0">
      <w:start w:val="1"/>
      <w:numFmt w:val="decimal"/>
      <w:lvlText w:val="%1.%2.%3.%4"/>
      <w:lvlJc w:val="left"/>
      <w:pPr>
        <w:tabs>
          <w:tab w:val="left" w:pos="2291"/>
        </w:tabs>
        <w:ind w:left="1559" w:hanging="708"/>
      </w:pPr>
      <w:rPr>
        <w:rFonts w:hint="eastAsia"/>
      </w:rPr>
    </w:lvl>
    <w:lvl w:ilvl="4" w:tentative="0">
      <w:start w:val="1"/>
      <w:numFmt w:val="decimal"/>
      <w:lvlText w:val="%1.%2.%3.%4.%5"/>
      <w:lvlJc w:val="left"/>
      <w:pPr>
        <w:tabs>
          <w:tab w:val="left" w:pos="3076"/>
        </w:tabs>
        <w:ind w:left="2126" w:hanging="850"/>
      </w:pPr>
      <w:rPr>
        <w:rFonts w:hint="eastAsia"/>
      </w:rPr>
    </w:lvl>
    <w:lvl w:ilvl="5" w:tentative="0">
      <w:start w:val="1"/>
      <w:numFmt w:val="decimal"/>
      <w:lvlText w:val="%1.%2.%3.%4.%5.%6"/>
      <w:lvlJc w:val="left"/>
      <w:pPr>
        <w:tabs>
          <w:tab w:val="left" w:pos="3861"/>
        </w:tabs>
        <w:ind w:left="2835" w:hanging="1134"/>
      </w:pPr>
      <w:rPr>
        <w:rFonts w:hint="eastAsia"/>
      </w:rPr>
    </w:lvl>
    <w:lvl w:ilvl="6" w:tentative="0">
      <w:start w:val="1"/>
      <w:numFmt w:val="decimal"/>
      <w:lvlText w:val="%1.%2.%3.%4.%5.%6.%7"/>
      <w:lvlJc w:val="left"/>
      <w:pPr>
        <w:tabs>
          <w:tab w:val="left" w:pos="4646"/>
        </w:tabs>
        <w:ind w:left="3402" w:hanging="1276"/>
      </w:pPr>
      <w:rPr>
        <w:rFonts w:hint="eastAsia"/>
      </w:rPr>
    </w:lvl>
    <w:lvl w:ilvl="7" w:tentative="0">
      <w:start w:val="1"/>
      <w:numFmt w:val="decimal"/>
      <w:lvlText w:val="%1.%2.%3.%4.%5.%6.%7.%8"/>
      <w:lvlJc w:val="left"/>
      <w:pPr>
        <w:tabs>
          <w:tab w:val="left" w:pos="5431"/>
        </w:tabs>
        <w:ind w:left="3969" w:hanging="1418"/>
      </w:pPr>
      <w:rPr>
        <w:rFonts w:hint="eastAsia"/>
      </w:rPr>
    </w:lvl>
    <w:lvl w:ilvl="8" w:tentative="0">
      <w:start w:val="1"/>
      <w:numFmt w:val="decimal"/>
      <w:lvlText w:val="%1.%2.%3.%4.%5.%6.%7.%8.%9"/>
      <w:lvlJc w:val="left"/>
      <w:pPr>
        <w:tabs>
          <w:tab w:val="left" w:pos="6217"/>
        </w:tabs>
        <w:ind w:left="4677" w:hanging="1700"/>
      </w:pPr>
      <w:rPr>
        <w:rFonts w:hint="eastAsia"/>
      </w:rPr>
    </w:lvl>
  </w:abstractNum>
  <w:abstractNum w:abstractNumId="7">
    <w:nsid w:val="646260FA"/>
    <w:multiLevelType w:val="multilevel"/>
    <w:tmpl w:val="646260FA"/>
    <w:lvl w:ilvl="0" w:tentative="0">
      <w:start w:val="1"/>
      <w:numFmt w:val="decimal"/>
      <w:pStyle w:val="12"/>
      <w:suff w:val="nothing"/>
      <w:lvlText w:val="表%1　"/>
      <w:lvlJc w:val="left"/>
      <w:pPr>
        <w:ind w:left="0" w:firstLine="0"/>
      </w:pPr>
      <w:rPr>
        <w:rFonts w:hint="eastAsia" w:ascii="黑体" w:hAnsi="Times New Roman" w:eastAsia="黑体"/>
        <w:b w:val="0"/>
        <w:i w:val="0"/>
        <w:sz w:val="21"/>
      </w:rPr>
    </w:lvl>
    <w:lvl w:ilvl="1" w:tentative="0">
      <w:start w:val="1"/>
      <w:numFmt w:val="decimal"/>
      <w:lvlText w:val="%1.%2"/>
      <w:lvlJc w:val="left"/>
      <w:pPr>
        <w:tabs>
          <w:tab w:val="left" w:pos="992"/>
        </w:tabs>
        <w:ind w:left="992" w:hanging="567"/>
      </w:pPr>
      <w:rPr>
        <w:rFonts w:hint="eastAsia"/>
      </w:rPr>
    </w:lvl>
    <w:lvl w:ilvl="2" w:tentative="0">
      <w:start w:val="1"/>
      <w:numFmt w:val="decimal"/>
      <w:lvlText w:val="%1.%2.%3"/>
      <w:lvlJc w:val="left"/>
      <w:pPr>
        <w:tabs>
          <w:tab w:val="left" w:pos="1418"/>
        </w:tabs>
        <w:ind w:left="1418" w:hanging="567"/>
      </w:pPr>
      <w:rPr>
        <w:rFonts w:hint="eastAsia"/>
      </w:rPr>
    </w:lvl>
    <w:lvl w:ilvl="3" w:tentative="0">
      <w:start w:val="1"/>
      <w:numFmt w:val="decimal"/>
      <w:lvlText w:val="%1.%2.%3.%4"/>
      <w:lvlJc w:val="left"/>
      <w:pPr>
        <w:tabs>
          <w:tab w:val="left" w:pos="1984"/>
        </w:tabs>
        <w:ind w:left="1984" w:hanging="708"/>
      </w:pPr>
      <w:rPr>
        <w:rFonts w:hint="eastAsia"/>
      </w:rPr>
    </w:lvl>
    <w:lvl w:ilvl="4" w:tentative="0">
      <w:start w:val="1"/>
      <w:numFmt w:val="decimal"/>
      <w:lvlText w:val="%1.%2.%3.%4.%5"/>
      <w:lvlJc w:val="left"/>
      <w:pPr>
        <w:tabs>
          <w:tab w:val="left" w:pos="2551"/>
        </w:tabs>
        <w:ind w:left="2551" w:hanging="850"/>
      </w:pPr>
      <w:rPr>
        <w:rFonts w:hint="eastAsia"/>
      </w:rPr>
    </w:lvl>
    <w:lvl w:ilvl="5" w:tentative="0">
      <w:start w:val="1"/>
      <w:numFmt w:val="decimal"/>
      <w:lvlText w:val="%1.%2.%3.%4.%5.%6"/>
      <w:lvlJc w:val="left"/>
      <w:pPr>
        <w:tabs>
          <w:tab w:val="left" w:pos="3260"/>
        </w:tabs>
        <w:ind w:left="3260" w:hanging="1134"/>
      </w:pPr>
      <w:rPr>
        <w:rFonts w:hint="eastAsia"/>
      </w:rPr>
    </w:lvl>
    <w:lvl w:ilvl="6" w:tentative="0">
      <w:start w:val="1"/>
      <w:numFmt w:val="decimal"/>
      <w:lvlText w:val="%1.%2.%3.%4.%5.%6.%7"/>
      <w:lvlJc w:val="left"/>
      <w:pPr>
        <w:tabs>
          <w:tab w:val="left" w:pos="3827"/>
        </w:tabs>
        <w:ind w:left="3827" w:hanging="1276"/>
      </w:pPr>
      <w:rPr>
        <w:rFonts w:hint="eastAsia"/>
      </w:rPr>
    </w:lvl>
    <w:lvl w:ilvl="7" w:tentative="0">
      <w:start w:val="1"/>
      <w:numFmt w:val="decimal"/>
      <w:lvlText w:val="%1.%2.%3.%4.%5.%6.%7.%8"/>
      <w:lvlJc w:val="left"/>
      <w:pPr>
        <w:tabs>
          <w:tab w:val="left" w:pos="4394"/>
        </w:tabs>
        <w:ind w:left="4394" w:hanging="1418"/>
      </w:pPr>
      <w:rPr>
        <w:rFonts w:hint="eastAsia"/>
      </w:rPr>
    </w:lvl>
    <w:lvl w:ilvl="8" w:tentative="0">
      <w:start w:val="1"/>
      <w:numFmt w:val="decimal"/>
      <w:lvlText w:val="%1.%2.%3.%4.%5.%6.%7.%8.%9"/>
      <w:lvlJc w:val="left"/>
      <w:pPr>
        <w:tabs>
          <w:tab w:val="left" w:pos="5102"/>
        </w:tabs>
        <w:ind w:left="5102" w:hanging="1700"/>
      </w:pPr>
      <w:rPr>
        <w:rFonts w:hint="eastAsia"/>
      </w:rPr>
    </w:lvl>
  </w:abstractNum>
  <w:abstractNum w:abstractNumId="8">
    <w:nsid w:val="6CEA2025"/>
    <w:multiLevelType w:val="multilevel"/>
    <w:tmpl w:val="6CEA2025"/>
    <w:lvl w:ilvl="0" w:tentative="0">
      <w:start w:val="1"/>
      <w:numFmt w:val="none"/>
      <w:suff w:val="nothing"/>
      <w:lvlText w:val="%1"/>
      <w:lvlJc w:val="left"/>
      <w:pPr>
        <w:ind w:left="0" w:firstLine="0"/>
      </w:pPr>
      <w:rPr>
        <w:rFonts w:hint="eastAsia"/>
      </w:rPr>
    </w:lvl>
    <w:lvl w:ilvl="1" w:tentative="0">
      <w:start w:val="1"/>
      <w:numFmt w:val="decimal"/>
      <w:pStyle w:val="37"/>
      <w:suff w:val="nothing"/>
      <w:lvlText w:val="%1%2　"/>
      <w:lvlJc w:val="left"/>
      <w:pPr>
        <w:ind w:left="0" w:firstLine="0"/>
      </w:pPr>
      <w:rPr>
        <w:rFonts w:hint="eastAsia" w:ascii="黑体" w:eastAsia="黑体"/>
        <w:b w:val="0"/>
        <w:i w:val="0"/>
        <w:sz w:val="21"/>
      </w:rPr>
    </w:lvl>
    <w:lvl w:ilvl="2" w:tentative="0">
      <w:start w:val="1"/>
      <w:numFmt w:val="decimal"/>
      <w:pStyle w:val="36"/>
      <w:suff w:val="nothing"/>
      <w:lvlText w:val="%1%2.%3　"/>
      <w:lvlJc w:val="left"/>
      <w:pPr>
        <w:ind w:left="0" w:firstLine="0"/>
      </w:pPr>
      <w:rPr>
        <w:rFonts w:hint="eastAsia" w:ascii="黑体" w:hAnsi="Times New Roman" w:eastAsia="黑体" w:cs="Times New Roman"/>
        <w:b w:val="0"/>
        <w:bCs w:val="0"/>
        <w:i w:val="0"/>
        <w:iCs w:val="0"/>
        <w:caps w:val="0"/>
        <w:smallCaps w:val="0"/>
        <w:strike w:val="0"/>
        <w:dstrike w:val="0"/>
        <w:vanish w:val="0"/>
        <w:color w:val="000000"/>
        <w:spacing w:val="0"/>
        <w:kern w:val="0"/>
        <w:position w:val="0"/>
        <w:sz w:val="21"/>
        <w:u w:val="none"/>
        <w:vertAlign w:val="baseline"/>
      </w:rPr>
    </w:lvl>
    <w:lvl w:ilvl="3" w:tentative="0">
      <w:start w:val="1"/>
      <w:numFmt w:val="decimal"/>
      <w:suff w:val="nothing"/>
      <w:lvlText w:val="%1%2.%3.%4　"/>
      <w:lvlJc w:val="left"/>
      <w:pPr>
        <w:ind w:left="0" w:firstLine="0"/>
      </w:pPr>
      <w:rPr>
        <w:rFonts w:hint="eastAsia" w:ascii="黑体" w:eastAsia="黑体"/>
        <w:b w:val="0"/>
        <w:i w:val="0"/>
        <w:sz w:val="21"/>
      </w:rPr>
    </w:lvl>
    <w:lvl w:ilvl="4" w:tentative="0">
      <w:start w:val="1"/>
      <w:numFmt w:val="decimal"/>
      <w:suff w:val="nothing"/>
      <w:lvlText w:val="%1%2.%3.%4.%5　"/>
      <w:lvlJc w:val="left"/>
      <w:pPr>
        <w:ind w:left="0" w:firstLine="0"/>
      </w:pPr>
      <w:rPr>
        <w:rFonts w:hint="eastAsia" w:ascii="黑体" w:eastAsia="黑体"/>
        <w:b w:val="0"/>
        <w:i w:val="0"/>
        <w:sz w:val="21"/>
      </w:rPr>
    </w:lvl>
    <w:lvl w:ilvl="5" w:tentative="0">
      <w:start w:val="1"/>
      <w:numFmt w:val="decimal"/>
      <w:suff w:val="nothing"/>
      <w:lvlText w:val="%1%2.%3.%4.%5.%6　"/>
      <w:lvlJc w:val="left"/>
      <w:pPr>
        <w:ind w:left="0" w:firstLine="0"/>
      </w:pPr>
      <w:rPr>
        <w:rFonts w:hint="eastAsia" w:ascii="黑体" w:eastAsia="黑体"/>
        <w:b w:val="0"/>
        <w:i w:val="0"/>
        <w:sz w:val="21"/>
      </w:rPr>
    </w:lvl>
    <w:lvl w:ilvl="6" w:tentative="0">
      <w:start w:val="1"/>
      <w:numFmt w:val="decimal"/>
      <w:suff w:val="nothing"/>
      <w:lvlText w:val="%1%2.%3.%4.%5.%6.%7　"/>
      <w:lvlJc w:val="left"/>
      <w:pPr>
        <w:ind w:left="0" w:firstLine="0"/>
      </w:pPr>
      <w:rPr>
        <w:rFonts w:hint="eastAsia" w:ascii="黑体" w:eastAsia="黑体"/>
        <w:b w:val="0"/>
        <w:i w:val="0"/>
        <w:sz w:val="21"/>
      </w:rPr>
    </w:lvl>
    <w:lvl w:ilvl="7" w:tentative="0">
      <w:start w:val="1"/>
      <w:numFmt w:val="decimal"/>
      <w:lvlText w:val="%1.%2.%3.%4.%5.%6.%7.%8"/>
      <w:lvlJc w:val="left"/>
      <w:pPr>
        <w:tabs>
          <w:tab w:val="left" w:pos="4351"/>
        </w:tabs>
        <w:ind w:left="3969" w:hanging="1418"/>
      </w:pPr>
      <w:rPr>
        <w:rFonts w:hint="eastAsia"/>
      </w:rPr>
    </w:lvl>
    <w:lvl w:ilvl="8" w:tentative="0">
      <w:start w:val="1"/>
      <w:numFmt w:val="decimal"/>
      <w:lvlText w:val="%1.%2.%3.%4.%5.%6.%7.%8.%9"/>
      <w:lvlJc w:val="left"/>
      <w:pPr>
        <w:tabs>
          <w:tab w:val="left" w:pos="4777"/>
        </w:tabs>
        <w:ind w:left="4677" w:hanging="1700"/>
      </w:pPr>
      <w:rPr>
        <w:rFonts w:hint="eastAsia"/>
      </w:rPr>
    </w:lvl>
  </w:abstractNum>
  <w:num w:numId="1">
    <w:abstractNumId w:val="7"/>
  </w:num>
  <w:num w:numId="2">
    <w:abstractNumId w:val="5"/>
  </w:num>
  <w:num w:numId="3">
    <w:abstractNumId w:val="3"/>
  </w:num>
  <w:num w:numId="4">
    <w:abstractNumId w:val="0"/>
  </w:num>
  <w:num w:numId="5">
    <w:abstractNumId w:val="4"/>
  </w:num>
  <w:num w:numId="6">
    <w:abstractNumId w:val="2"/>
  </w:num>
  <w:num w:numId="7">
    <w:abstractNumId w:val="1"/>
  </w:num>
  <w:num w:numId="8">
    <w:abstractNumId w:val="6"/>
  </w:num>
  <w:num w:numId="9">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embedSystemFonts/>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420"/>
  <w:drawingGridHorizontalSpacing w:val="105"/>
  <w:drawingGridVerticalSpacing w:val="156"/>
  <w:displayHorizontalDrawingGridEvery w:val="1"/>
  <w:displayVerticalDrawingGridEvery w:val="1"/>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2062E"/>
    <w:rsid w:val="0000457E"/>
    <w:rsid w:val="00005CA4"/>
    <w:rsid w:val="000107BC"/>
    <w:rsid w:val="00013090"/>
    <w:rsid w:val="00016837"/>
    <w:rsid w:val="00021331"/>
    <w:rsid w:val="00023119"/>
    <w:rsid w:val="00023FE2"/>
    <w:rsid w:val="00024212"/>
    <w:rsid w:val="00024664"/>
    <w:rsid w:val="00032CD6"/>
    <w:rsid w:val="00033257"/>
    <w:rsid w:val="00034233"/>
    <w:rsid w:val="00034BDB"/>
    <w:rsid w:val="00047D7B"/>
    <w:rsid w:val="00053B0B"/>
    <w:rsid w:val="000576D0"/>
    <w:rsid w:val="00057758"/>
    <w:rsid w:val="00060FE2"/>
    <w:rsid w:val="0007330D"/>
    <w:rsid w:val="00073F72"/>
    <w:rsid w:val="00074EB1"/>
    <w:rsid w:val="00076BBA"/>
    <w:rsid w:val="00080F2F"/>
    <w:rsid w:val="0008145A"/>
    <w:rsid w:val="0009177A"/>
    <w:rsid w:val="00093E74"/>
    <w:rsid w:val="000962F6"/>
    <w:rsid w:val="000A0201"/>
    <w:rsid w:val="000A1EAE"/>
    <w:rsid w:val="000A3070"/>
    <w:rsid w:val="000A4601"/>
    <w:rsid w:val="000A77CD"/>
    <w:rsid w:val="000B572A"/>
    <w:rsid w:val="000D0ACE"/>
    <w:rsid w:val="000D15BE"/>
    <w:rsid w:val="000D5AC8"/>
    <w:rsid w:val="000D6612"/>
    <w:rsid w:val="000D751C"/>
    <w:rsid w:val="000D7F33"/>
    <w:rsid w:val="000F10EB"/>
    <w:rsid w:val="000F3365"/>
    <w:rsid w:val="000F517A"/>
    <w:rsid w:val="001012D5"/>
    <w:rsid w:val="00101D2E"/>
    <w:rsid w:val="00103B83"/>
    <w:rsid w:val="00105252"/>
    <w:rsid w:val="001062E3"/>
    <w:rsid w:val="00106661"/>
    <w:rsid w:val="0010769F"/>
    <w:rsid w:val="00110864"/>
    <w:rsid w:val="00110F43"/>
    <w:rsid w:val="00112415"/>
    <w:rsid w:val="00113B53"/>
    <w:rsid w:val="00114946"/>
    <w:rsid w:val="00122573"/>
    <w:rsid w:val="00126CA6"/>
    <w:rsid w:val="001273E7"/>
    <w:rsid w:val="00127EB0"/>
    <w:rsid w:val="00131B03"/>
    <w:rsid w:val="00132C5F"/>
    <w:rsid w:val="00133786"/>
    <w:rsid w:val="00134DD4"/>
    <w:rsid w:val="001435D3"/>
    <w:rsid w:val="001449B5"/>
    <w:rsid w:val="001463AC"/>
    <w:rsid w:val="0015152A"/>
    <w:rsid w:val="00156020"/>
    <w:rsid w:val="00156663"/>
    <w:rsid w:val="001611BB"/>
    <w:rsid w:val="00167167"/>
    <w:rsid w:val="001708F8"/>
    <w:rsid w:val="0018112C"/>
    <w:rsid w:val="00183467"/>
    <w:rsid w:val="00190A64"/>
    <w:rsid w:val="00190C6A"/>
    <w:rsid w:val="00191774"/>
    <w:rsid w:val="00191DCE"/>
    <w:rsid w:val="001923CF"/>
    <w:rsid w:val="001925FD"/>
    <w:rsid w:val="001930A1"/>
    <w:rsid w:val="00194FE3"/>
    <w:rsid w:val="00196054"/>
    <w:rsid w:val="0019711F"/>
    <w:rsid w:val="001A0DBF"/>
    <w:rsid w:val="001A3402"/>
    <w:rsid w:val="001B0E92"/>
    <w:rsid w:val="001B36E5"/>
    <w:rsid w:val="001B3B17"/>
    <w:rsid w:val="001C5F01"/>
    <w:rsid w:val="001C793C"/>
    <w:rsid w:val="001D22F0"/>
    <w:rsid w:val="001D64DB"/>
    <w:rsid w:val="001D7816"/>
    <w:rsid w:val="001E5000"/>
    <w:rsid w:val="001F07A8"/>
    <w:rsid w:val="001F16E6"/>
    <w:rsid w:val="001F241E"/>
    <w:rsid w:val="001F537A"/>
    <w:rsid w:val="001F660A"/>
    <w:rsid w:val="001F79F5"/>
    <w:rsid w:val="001F7E35"/>
    <w:rsid w:val="00205603"/>
    <w:rsid w:val="00210916"/>
    <w:rsid w:val="002116FB"/>
    <w:rsid w:val="00214221"/>
    <w:rsid w:val="00217683"/>
    <w:rsid w:val="002223DD"/>
    <w:rsid w:val="002231E8"/>
    <w:rsid w:val="00223EB7"/>
    <w:rsid w:val="00224EB8"/>
    <w:rsid w:val="00231E62"/>
    <w:rsid w:val="00232769"/>
    <w:rsid w:val="00244ADA"/>
    <w:rsid w:val="00244C0C"/>
    <w:rsid w:val="002465C7"/>
    <w:rsid w:val="002526F3"/>
    <w:rsid w:val="00254F7A"/>
    <w:rsid w:val="00256FE0"/>
    <w:rsid w:val="002614C6"/>
    <w:rsid w:val="002621E1"/>
    <w:rsid w:val="00262753"/>
    <w:rsid w:val="00262771"/>
    <w:rsid w:val="00262F6C"/>
    <w:rsid w:val="00264A7D"/>
    <w:rsid w:val="00264CE4"/>
    <w:rsid w:val="002651A9"/>
    <w:rsid w:val="00266090"/>
    <w:rsid w:val="0027235B"/>
    <w:rsid w:val="00283085"/>
    <w:rsid w:val="00283E25"/>
    <w:rsid w:val="0029084D"/>
    <w:rsid w:val="00291D7F"/>
    <w:rsid w:val="00291EF3"/>
    <w:rsid w:val="00294959"/>
    <w:rsid w:val="002952AC"/>
    <w:rsid w:val="002A2FCF"/>
    <w:rsid w:val="002A4D06"/>
    <w:rsid w:val="002A5D80"/>
    <w:rsid w:val="002B07E3"/>
    <w:rsid w:val="002B23AB"/>
    <w:rsid w:val="002B2E35"/>
    <w:rsid w:val="002B3D69"/>
    <w:rsid w:val="002B5497"/>
    <w:rsid w:val="002C1D2A"/>
    <w:rsid w:val="002C4FFB"/>
    <w:rsid w:val="002C5534"/>
    <w:rsid w:val="002C611B"/>
    <w:rsid w:val="002C73B6"/>
    <w:rsid w:val="002D49CC"/>
    <w:rsid w:val="002D6D1E"/>
    <w:rsid w:val="002E073F"/>
    <w:rsid w:val="002E7467"/>
    <w:rsid w:val="002E7A35"/>
    <w:rsid w:val="002F34AA"/>
    <w:rsid w:val="002F4B59"/>
    <w:rsid w:val="002F4D7B"/>
    <w:rsid w:val="002F513F"/>
    <w:rsid w:val="002F613B"/>
    <w:rsid w:val="003025DF"/>
    <w:rsid w:val="00303E23"/>
    <w:rsid w:val="00304BFD"/>
    <w:rsid w:val="00306925"/>
    <w:rsid w:val="0031011D"/>
    <w:rsid w:val="003144B8"/>
    <w:rsid w:val="00314640"/>
    <w:rsid w:val="00327623"/>
    <w:rsid w:val="0033375C"/>
    <w:rsid w:val="0034090F"/>
    <w:rsid w:val="00343C24"/>
    <w:rsid w:val="00345BCC"/>
    <w:rsid w:val="00353735"/>
    <w:rsid w:val="00354D06"/>
    <w:rsid w:val="00356D19"/>
    <w:rsid w:val="00357A1D"/>
    <w:rsid w:val="00357E18"/>
    <w:rsid w:val="0036001E"/>
    <w:rsid w:val="00360952"/>
    <w:rsid w:val="00362F10"/>
    <w:rsid w:val="00365252"/>
    <w:rsid w:val="00372A01"/>
    <w:rsid w:val="00372C98"/>
    <w:rsid w:val="00373BAD"/>
    <w:rsid w:val="00374390"/>
    <w:rsid w:val="003754CF"/>
    <w:rsid w:val="00381796"/>
    <w:rsid w:val="00382AB2"/>
    <w:rsid w:val="00386647"/>
    <w:rsid w:val="00391984"/>
    <w:rsid w:val="00392E22"/>
    <w:rsid w:val="00396025"/>
    <w:rsid w:val="003B2F32"/>
    <w:rsid w:val="003B5050"/>
    <w:rsid w:val="003B729F"/>
    <w:rsid w:val="003C2D44"/>
    <w:rsid w:val="003C483D"/>
    <w:rsid w:val="003D3AF0"/>
    <w:rsid w:val="003D48B6"/>
    <w:rsid w:val="003D51D0"/>
    <w:rsid w:val="003D5CB5"/>
    <w:rsid w:val="003D6E58"/>
    <w:rsid w:val="003E330B"/>
    <w:rsid w:val="003E4A86"/>
    <w:rsid w:val="003F284D"/>
    <w:rsid w:val="003F28D0"/>
    <w:rsid w:val="003F3119"/>
    <w:rsid w:val="003F392A"/>
    <w:rsid w:val="003F3AAC"/>
    <w:rsid w:val="003F727B"/>
    <w:rsid w:val="0040035D"/>
    <w:rsid w:val="00403F64"/>
    <w:rsid w:val="00404BD1"/>
    <w:rsid w:val="004050BE"/>
    <w:rsid w:val="0040610D"/>
    <w:rsid w:val="00406A80"/>
    <w:rsid w:val="0042062E"/>
    <w:rsid w:val="00424AF1"/>
    <w:rsid w:val="00424FCB"/>
    <w:rsid w:val="00425860"/>
    <w:rsid w:val="00427B81"/>
    <w:rsid w:val="00434E46"/>
    <w:rsid w:val="00434F90"/>
    <w:rsid w:val="004378E4"/>
    <w:rsid w:val="0044118D"/>
    <w:rsid w:val="004441BD"/>
    <w:rsid w:val="004503F4"/>
    <w:rsid w:val="0045483D"/>
    <w:rsid w:val="00455661"/>
    <w:rsid w:val="0046025A"/>
    <w:rsid w:val="00460359"/>
    <w:rsid w:val="004605D8"/>
    <w:rsid w:val="004626AF"/>
    <w:rsid w:val="00465230"/>
    <w:rsid w:val="00467DEF"/>
    <w:rsid w:val="004715D8"/>
    <w:rsid w:val="004805D0"/>
    <w:rsid w:val="00480BA1"/>
    <w:rsid w:val="004814A9"/>
    <w:rsid w:val="0048357F"/>
    <w:rsid w:val="00484EF3"/>
    <w:rsid w:val="00485212"/>
    <w:rsid w:val="004865C9"/>
    <w:rsid w:val="0049011A"/>
    <w:rsid w:val="00491FE3"/>
    <w:rsid w:val="0049241F"/>
    <w:rsid w:val="0049390C"/>
    <w:rsid w:val="004A25C4"/>
    <w:rsid w:val="004A2878"/>
    <w:rsid w:val="004A614E"/>
    <w:rsid w:val="004A660C"/>
    <w:rsid w:val="004A76AB"/>
    <w:rsid w:val="004B2E7F"/>
    <w:rsid w:val="004C4136"/>
    <w:rsid w:val="004D155D"/>
    <w:rsid w:val="004D2302"/>
    <w:rsid w:val="004D5B22"/>
    <w:rsid w:val="004E3026"/>
    <w:rsid w:val="004F0593"/>
    <w:rsid w:val="004F48C2"/>
    <w:rsid w:val="004F74F0"/>
    <w:rsid w:val="004F7FA9"/>
    <w:rsid w:val="005009D1"/>
    <w:rsid w:val="0050156A"/>
    <w:rsid w:val="00505469"/>
    <w:rsid w:val="005066ED"/>
    <w:rsid w:val="005067C2"/>
    <w:rsid w:val="0051028F"/>
    <w:rsid w:val="0051148B"/>
    <w:rsid w:val="00513080"/>
    <w:rsid w:val="00514C97"/>
    <w:rsid w:val="005159F5"/>
    <w:rsid w:val="00526200"/>
    <w:rsid w:val="005269CF"/>
    <w:rsid w:val="00533886"/>
    <w:rsid w:val="0053418A"/>
    <w:rsid w:val="00535AC6"/>
    <w:rsid w:val="00537550"/>
    <w:rsid w:val="0054317B"/>
    <w:rsid w:val="00546DEA"/>
    <w:rsid w:val="005639F8"/>
    <w:rsid w:val="005656AA"/>
    <w:rsid w:val="005742DB"/>
    <w:rsid w:val="00577C08"/>
    <w:rsid w:val="005802BD"/>
    <w:rsid w:val="0058151C"/>
    <w:rsid w:val="00581CE7"/>
    <w:rsid w:val="00582F5C"/>
    <w:rsid w:val="0058472C"/>
    <w:rsid w:val="005870E5"/>
    <w:rsid w:val="005873D6"/>
    <w:rsid w:val="005876DE"/>
    <w:rsid w:val="00596702"/>
    <w:rsid w:val="005A1A17"/>
    <w:rsid w:val="005A4523"/>
    <w:rsid w:val="005A4707"/>
    <w:rsid w:val="005B0CDC"/>
    <w:rsid w:val="005B23F7"/>
    <w:rsid w:val="005B7128"/>
    <w:rsid w:val="005B76D5"/>
    <w:rsid w:val="005B7B7E"/>
    <w:rsid w:val="005C468E"/>
    <w:rsid w:val="005D06D6"/>
    <w:rsid w:val="005D1EE1"/>
    <w:rsid w:val="005D2762"/>
    <w:rsid w:val="005D2AEE"/>
    <w:rsid w:val="005D3F96"/>
    <w:rsid w:val="005D5DDF"/>
    <w:rsid w:val="005D6A5C"/>
    <w:rsid w:val="005E05D4"/>
    <w:rsid w:val="005E207A"/>
    <w:rsid w:val="005E2143"/>
    <w:rsid w:val="005F0995"/>
    <w:rsid w:val="005F1E35"/>
    <w:rsid w:val="005F36D9"/>
    <w:rsid w:val="005F4F92"/>
    <w:rsid w:val="005F6C71"/>
    <w:rsid w:val="005F71EC"/>
    <w:rsid w:val="005F7613"/>
    <w:rsid w:val="006062AE"/>
    <w:rsid w:val="0060656D"/>
    <w:rsid w:val="00606B5A"/>
    <w:rsid w:val="00610884"/>
    <w:rsid w:val="00614347"/>
    <w:rsid w:val="006147DA"/>
    <w:rsid w:val="0062702A"/>
    <w:rsid w:val="00636DF8"/>
    <w:rsid w:val="006404F1"/>
    <w:rsid w:val="0064449B"/>
    <w:rsid w:val="00644EED"/>
    <w:rsid w:val="006467C4"/>
    <w:rsid w:val="00651C9C"/>
    <w:rsid w:val="00654D8C"/>
    <w:rsid w:val="006555D8"/>
    <w:rsid w:val="00655638"/>
    <w:rsid w:val="006610FC"/>
    <w:rsid w:val="0066440C"/>
    <w:rsid w:val="00664832"/>
    <w:rsid w:val="006670DB"/>
    <w:rsid w:val="00667C57"/>
    <w:rsid w:val="0067586A"/>
    <w:rsid w:val="00680EEB"/>
    <w:rsid w:val="006811BF"/>
    <w:rsid w:val="00681C0F"/>
    <w:rsid w:val="00682D7C"/>
    <w:rsid w:val="00682FAD"/>
    <w:rsid w:val="0068494D"/>
    <w:rsid w:val="00690D6C"/>
    <w:rsid w:val="006945D3"/>
    <w:rsid w:val="006A1BD7"/>
    <w:rsid w:val="006A3112"/>
    <w:rsid w:val="006B1080"/>
    <w:rsid w:val="006B6EA3"/>
    <w:rsid w:val="006C0CC1"/>
    <w:rsid w:val="006C6B87"/>
    <w:rsid w:val="006C70ED"/>
    <w:rsid w:val="006D4B56"/>
    <w:rsid w:val="006D4CCC"/>
    <w:rsid w:val="006D5D5F"/>
    <w:rsid w:val="006E155C"/>
    <w:rsid w:val="006E65EC"/>
    <w:rsid w:val="006E7520"/>
    <w:rsid w:val="006F03ED"/>
    <w:rsid w:val="006F67E6"/>
    <w:rsid w:val="006F77F7"/>
    <w:rsid w:val="00700D32"/>
    <w:rsid w:val="0070138D"/>
    <w:rsid w:val="00701A2B"/>
    <w:rsid w:val="0070266E"/>
    <w:rsid w:val="00705429"/>
    <w:rsid w:val="0070730B"/>
    <w:rsid w:val="00712BC5"/>
    <w:rsid w:val="00715CA4"/>
    <w:rsid w:val="00716EAC"/>
    <w:rsid w:val="00720395"/>
    <w:rsid w:val="00722AAE"/>
    <w:rsid w:val="0072448B"/>
    <w:rsid w:val="007245EF"/>
    <w:rsid w:val="00726016"/>
    <w:rsid w:val="00726F82"/>
    <w:rsid w:val="007432F4"/>
    <w:rsid w:val="0075401E"/>
    <w:rsid w:val="00755471"/>
    <w:rsid w:val="007556A8"/>
    <w:rsid w:val="00756686"/>
    <w:rsid w:val="00760DDA"/>
    <w:rsid w:val="00760FBD"/>
    <w:rsid w:val="007768A2"/>
    <w:rsid w:val="00776FE6"/>
    <w:rsid w:val="007812EA"/>
    <w:rsid w:val="00781F1A"/>
    <w:rsid w:val="00782C84"/>
    <w:rsid w:val="00784D8F"/>
    <w:rsid w:val="007912E9"/>
    <w:rsid w:val="007923BD"/>
    <w:rsid w:val="00793820"/>
    <w:rsid w:val="00797654"/>
    <w:rsid w:val="00797B14"/>
    <w:rsid w:val="007A022B"/>
    <w:rsid w:val="007A1A73"/>
    <w:rsid w:val="007A36E9"/>
    <w:rsid w:val="007A4FEA"/>
    <w:rsid w:val="007A5B26"/>
    <w:rsid w:val="007A710B"/>
    <w:rsid w:val="007B0B70"/>
    <w:rsid w:val="007B317A"/>
    <w:rsid w:val="007B4614"/>
    <w:rsid w:val="007B7812"/>
    <w:rsid w:val="007C11E0"/>
    <w:rsid w:val="007C3308"/>
    <w:rsid w:val="007C4C1F"/>
    <w:rsid w:val="007D1773"/>
    <w:rsid w:val="007D3096"/>
    <w:rsid w:val="007D4356"/>
    <w:rsid w:val="007D520B"/>
    <w:rsid w:val="007D5225"/>
    <w:rsid w:val="007D6192"/>
    <w:rsid w:val="007D646F"/>
    <w:rsid w:val="007E0035"/>
    <w:rsid w:val="007F05BA"/>
    <w:rsid w:val="007F1688"/>
    <w:rsid w:val="007F17C2"/>
    <w:rsid w:val="007F3051"/>
    <w:rsid w:val="007F445F"/>
    <w:rsid w:val="007F69C4"/>
    <w:rsid w:val="00800158"/>
    <w:rsid w:val="00800C49"/>
    <w:rsid w:val="00805B1A"/>
    <w:rsid w:val="00812666"/>
    <w:rsid w:val="00816354"/>
    <w:rsid w:val="00825BEF"/>
    <w:rsid w:val="008275DE"/>
    <w:rsid w:val="0083025F"/>
    <w:rsid w:val="00831A4E"/>
    <w:rsid w:val="00834158"/>
    <w:rsid w:val="00834F29"/>
    <w:rsid w:val="00837133"/>
    <w:rsid w:val="00841FDD"/>
    <w:rsid w:val="00843099"/>
    <w:rsid w:val="00844A63"/>
    <w:rsid w:val="00845B6B"/>
    <w:rsid w:val="0085555C"/>
    <w:rsid w:val="0085722C"/>
    <w:rsid w:val="00860076"/>
    <w:rsid w:val="00864B42"/>
    <w:rsid w:val="00864EDC"/>
    <w:rsid w:val="008717FD"/>
    <w:rsid w:val="00872085"/>
    <w:rsid w:val="0087311E"/>
    <w:rsid w:val="008766A7"/>
    <w:rsid w:val="0088023F"/>
    <w:rsid w:val="00884AB2"/>
    <w:rsid w:val="008853E8"/>
    <w:rsid w:val="00890B67"/>
    <w:rsid w:val="00893361"/>
    <w:rsid w:val="00893A8E"/>
    <w:rsid w:val="00893CE3"/>
    <w:rsid w:val="008941F8"/>
    <w:rsid w:val="0089639E"/>
    <w:rsid w:val="0089684C"/>
    <w:rsid w:val="008A328F"/>
    <w:rsid w:val="008A42EB"/>
    <w:rsid w:val="008A4E58"/>
    <w:rsid w:val="008A5709"/>
    <w:rsid w:val="008B1A6F"/>
    <w:rsid w:val="008B35DA"/>
    <w:rsid w:val="008B6562"/>
    <w:rsid w:val="008B7C56"/>
    <w:rsid w:val="008C1BE0"/>
    <w:rsid w:val="008C5328"/>
    <w:rsid w:val="008C6844"/>
    <w:rsid w:val="008D1502"/>
    <w:rsid w:val="008D2E6B"/>
    <w:rsid w:val="008D3059"/>
    <w:rsid w:val="008D44E2"/>
    <w:rsid w:val="008D5C1F"/>
    <w:rsid w:val="008D612C"/>
    <w:rsid w:val="008E0C90"/>
    <w:rsid w:val="008E340A"/>
    <w:rsid w:val="008F024A"/>
    <w:rsid w:val="008F4CD3"/>
    <w:rsid w:val="008F62FB"/>
    <w:rsid w:val="00900B1D"/>
    <w:rsid w:val="00901C67"/>
    <w:rsid w:val="009058DF"/>
    <w:rsid w:val="00910D7C"/>
    <w:rsid w:val="00910E34"/>
    <w:rsid w:val="00911CE5"/>
    <w:rsid w:val="009133CD"/>
    <w:rsid w:val="0091490C"/>
    <w:rsid w:val="009204DB"/>
    <w:rsid w:val="009206E4"/>
    <w:rsid w:val="0092128F"/>
    <w:rsid w:val="00922063"/>
    <w:rsid w:val="009220D3"/>
    <w:rsid w:val="009226F2"/>
    <w:rsid w:val="00926314"/>
    <w:rsid w:val="00930317"/>
    <w:rsid w:val="00933333"/>
    <w:rsid w:val="0093364F"/>
    <w:rsid w:val="00934E57"/>
    <w:rsid w:val="00936A0A"/>
    <w:rsid w:val="00944176"/>
    <w:rsid w:val="0094724D"/>
    <w:rsid w:val="009510ED"/>
    <w:rsid w:val="00954E13"/>
    <w:rsid w:val="00955098"/>
    <w:rsid w:val="00962A6D"/>
    <w:rsid w:val="009642C6"/>
    <w:rsid w:val="0096452B"/>
    <w:rsid w:val="00975377"/>
    <w:rsid w:val="0097752F"/>
    <w:rsid w:val="00980E2D"/>
    <w:rsid w:val="00981308"/>
    <w:rsid w:val="00983CDC"/>
    <w:rsid w:val="00983E62"/>
    <w:rsid w:val="00984743"/>
    <w:rsid w:val="00985D99"/>
    <w:rsid w:val="00987A4E"/>
    <w:rsid w:val="00987C57"/>
    <w:rsid w:val="0099188F"/>
    <w:rsid w:val="00993328"/>
    <w:rsid w:val="00995822"/>
    <w:rsid w:val="00997A44"/>
    <w:rsid w:val="009A1FC7"/>
    <w:rsid w:val="009A7254"/>
    <w:rsid w:val="009B2BF4"/>
    <w:rsid w:val="009B52A3"/>
    <w:rsid w:val="009B53BA"/>
    <w:rsid w:val="009B609B"/>
    <w:rsid w:val="009B6F4E"/>
    <w:rsid w:val="009B6FA5"/>
    <w:rsid w:val="009B74CD"/>
    <w:rsid w:val="009D1F6F"/>
    <w:rsid w:val="009D38DB"/>
    <w:rsid w:val="009D3D0A"/>
    <w:rsid w:val="009D628E"/>
    <w:rsid w:val="009D62DE"/>
    <w:rsid w:val="009E1F06"/>
    <w:rsid w:val="009E5DEF"/>
    <w:rsid w:val="009E6B6B"/>
    <w:rsid w:val="009F3B36"/>
    <w:rsid w:val="009F79E3"/>
    <w:rsid w:val="00A01A52"/>
    <w:rsid w:val="00A02A0A"/>
    <w:rsid w:val="00A04717"/>
    <w:rsid w:val="00A04E49"/>
    <w:rsid w:val="00A10236"/>
    <w:rsid w:val="00A10B7E"/>
    <w:rsid w:val="00A11E9D"/>
    <w:rsid w:val="00A1598C"/>
    <w:rsid w:val="00A15EDE"/>
    <w:rsid w:val="00A163CB"/>
    <w:rsid w:val="00A24789"/>
    <w:rsid w:val="00A25268"/>
    <w:rsid w:val="00A34924"/>
    <w:rsid w:val="00A35F3F"/>
    <w:rsid w:val="00A40234"/>
    <w:rsid w:val="00A4496C"/>
    <w:rsid w:val="00A51BDA"/>
    <w:rsid w:val="00A52FED"/>
    <w:rsid w:val="00A547EA"/>
    <w:rsid w:val="00A54EE3"/>
    <w:rsid w:val="00A60040"/>
    <w:rsid w:val="00A61125"/>
    <w:rsid w:val="00A64033"/>
    <w:rsid w:val="00A65635"/>
    <w:rsid w:val="00A66230"/>
    <w:rsid w:val="00A66B33"/>
    <w:rsid w:val="00A706DE"/>
    <w:rsid w:val="00A70BEA"/>
    <w:rsid w:val="00A7226B"/>
    <w:rsid w:val="00A77E2C"/>
    <w:rsid w:val="00A806B3"/>
    <w:rsid w:val="00A80E57"/>
    <w:rsid w:val="00A82337"/>
    <w:rsid w:val="00A90118"/>
    <w:rsid w:val="00A90821"/>
    <w:rsid w:val="00A928C5"/>
    <w:rsid w:val="00A94CCD"/>
    <w:rsid w:val="00A955A3"/>
    <w:rsid w:val="00A958C2"/>
    <w:rsid w:val="00A95C9E"/>
    <w:rsid w:val="00A96933"/>
    <w:rsid w:val="00A97D34"/>
    <w:rsid w:val="00AA175E"/>
    <w:rsid w:val="00AA1B3F"/>
    <w:rsid w:val="00AA565B"/>
    <w:rsid w:val="00AA6572"/>
    <w:rsid w:val="00AA6DE0"/>
    <w:rsid w:val="00AB0EDD"/>
    <w:rsid w:val="00AB238D"/>
    <w:rsid w:val="00AC5DC1"/>
    <w:rsid w:val="00AD1275"/>
    <w:rsid w:val="00AD56BA"/>
    <w:rsid w:val="00AE5941"/>
    <w:rsid w:val="00AE7E72"/>
    <w:rsid w:val="00AF00B0"/>
    <w:rsid w:val="00AF0B6E"/>
    <w:rsid w:val="00AF0C1B"/>
    <w:rsid w:val="00AF1152"/>
    <w:rsid w:val="00AF20DE"/>
    <w:rsid w:val="00AF2C7E"/>
    <w:rsid w:val="00AF337C"/>
    <w:rsid w:val="00AF365B"/>
    <w:rsid w:val="00AF3BC9"/>
    <w:rsid w:val="00B0152E"/>
    <w:rsid w:val="00B06F77"/>
    <w:rsid w:val="00B17EA4"/>
    <w:rsid w:val="00B2401D"/>
    <w:rsid w:val="00B271E2"/>
    <w:rsid w:val="00B27F1E"/>
    <w:rsid w:val="00B320E0"/>
    <w:rsid w:val="00B32D83"/>
    <w:rsid w:val="00B35A2B"/>
    <w:rsid w:val="00B44C87"/>
    <w:rsid w:val="00B47772"/>
    <w:rsid w:val="00B525E7"/>
    <w:rsid w:val="00B5298A"/>
    <w:rsid w:val="00B52BC2"/>
    <w:rsid w:val="00B54B9E"/>
    <w:rsid w:val="00B5655B"/>
    <w:rsid w:val="00B602C0"/>
    <w:rsid w:val="00B639CC"/>
    <w:rsid w:val="00B65AA6"/>
    <w:rsid w:val="00B67A38"/>
    <w:rsid w:val="00B736AC"/>
    <w:rsid w:val="00B753D4"/>
    <w:rsid w:val="00B777DB"/>
    <w:rsid w:val="00B804DA"/>
    <w:rsid w:val="00B83BD4"/>
    <w:rsid w:val="00B873B1"/>
    <w:rsid w:val="00B91C42"/>
    <w:rsid w:val="00BB0ED6"/>
    <w:rsid w:val="00BB1C0A"/>
    <w:rsid w:val="00BB4376"/>
    <w:rsid w:val="00BB4A45"/>
    <w:rsid w:val="00BB4B74"/>
    <w:rsid w:val="00BB6FED"/>
    <w:rsid w:val="00BC41B2"/>
    <w:rsid w:val="00BC45B6"/>
    <w:rsid w:val="00BC4F9E"/>
    <w:rsid w:val="00BE0799"/>
    <w:rsid w:val="00BE26D9"/>
    <w:rsid w:val="00BF1119"/>
    <w:rsid w:val="00BF5510"/>
    <w:rsid w:val="00C00C31"/>
    <w:rsid w:val="00C070A2"/>
    <w:rsid w:val="00C10D37"/>
    <w:rsid w:val="00C13A0F"/>
    <w:rsid w:val="00C14C4A"/>
    <w:rsid w:val="00C17E66"/>
    <w:rsid w:val="00C22482"/>
    <w:rsid w:val="00C242A9"/>
    <w:rsid w:val="00C24D87"/>
    <w:rsid w:val="00C3032A"/>
    <w:rsid w:val="00C31C6D"/>
    <w:rsid w:val="00C31FF2"/>
    <w:rsid w:val="00C33C36"/>
    <w:rsid w:val="00C34E53"/>
    <w:rsid w:val="00C37264"/>
    <w:rsid w:val="00C408D1"/>
    <w:rsid w:val="00C44645"/>
    <w:rsid w:val="00C50A3F"/>
    <w:rsid w:val="00C51474"/>
    <w:rsid w:val="00C51847"/>
    <w:rsid w:val="00C55C36"/>
    <w:rsid w:val="00C61072"/>
    <w:rsid w:val="00C6137D"/>
    <w:rsid w:val="00C61540"/>
    <w:rsid w:val="00C61B0C"/>
    <w:rsid w:val="00C634E4"/>
    <w:rsid w:val="00C67D4C"/>
    <w:rsid w:val="00C706FA"/>
    <w:rsid w:val="00C808FE"/>
    <w:rsid w:val="00C81D18"/>
    <w:rsid w:val="00C82258"/>
    <w:rsid w:val="00C82744"/>
    <w:rsid w:val="00C836D9"/>
    <w:rsid w:val="00C84109"/>
    <w:rsid w:val="00C843F0"/>
    <w:rsid w:val="00C85F66"/>
    <w:rsid w:val="00C95F0B"/>
    <w:rsid w:val="00CA0CFD"/>
    <w:rsid w:val="00CA37C8"/>
    <w:rsid w:val="00CA5047"/>
    <w:rsid w:val="00CA7C2A"/>
    <w:rsid w:val="00CC1221"/>
    <w:rsid w:val="00CC4EE7"/>
    <w:rsid w:val="00CD4CC6"/>
    <w:rsid w:val="00CD5C22"/>
    <w:rsid w:val="00CE363E"/>
    <w:rsid w:val="00CF1430"/>
    <w:rsid w:val="00CF1AE4"/>
    <w:rsid w:val="00D0046C"/>
    <w:rsid w:val="00D00979"/>
    <w:rsid w:val="00D01E3B"/>
    <w:rsid w:val="00D05480"/>
    <w:rsid w:val="00D06EEA"/>
    <w:rsid w:val="00D11946"/>
    <w:rsid w:val="00D14F71"/>
    <w:rsid w:val="00D15612"/>
    <w:rsid w:val="00D156E5"/>
    <w:rsid w:val="00D17A89"/>
    <w:rsid w:val="00D204BD"/>
    <w:rsid w:val="00D21619"/>
    <w:rsid w:val="00D21B1B"/>
    <w:rsid w:val="00D220B5"/>
    <w:rsid w:val="00D26063"/>
    <w:rsid w:val="00D30FB0"/>
    <w:rsid w:val="00D32832"/>
    <w:rsid w:val="00D33C76"/>
    <w:rsid w:val="00D34827"/>
    <w:rsid w:val="00D3642E"/>
    <w:rsid w:val="00D41F8D"/>
    <w:rsid w:val="00D451AB"/>
    <w:rsid w:val="00D50991"/>
    <w:rsid w:val="00D578AF"/>
    <w:rsid w:val="00D61DA0"/>
    <w:rsid w:val="00D65D7A"/>
    <w:rsid w:val="00D6793A"/>
    <w:rsid w:val="00D7347C"/>
    <w:rsid w:val="00D74D7F"/>
    <w:rsid w:val="00D75348"/>
    <w:rsid w:val="00D80F6F"/>
    <w:rsid w:val="00D820E3"/>
    <w:rsid w:val="00D9342C"/>
    <w:rsid w:val="00D944CB"/>
    <w:rsid w:val="00DA326B"/>
    <w:rsid w:val="00DA3BCE"/>
    <w:rsid w:val="00DA59FA"/>
    <w:rsid w:val="00DB1157"/>
    <w:rsid w:val="00DB295F"/>
    <w:rsid w:val="00DB29E4"/>
    <w:rsid w:val="00DB3826"/>
    <w:rsid w:val="00DB47DC"/>
    <w:rsid w:val="00DB74F2"/>
    <w:rsid w:val="00DC205C"/>
    <w:rsid w:val="00DC5687"/>
    <w:rsid w:val="00DC6575"/>
    <w:rsid w:val="00DC7A5D"/>
    <w:rsid w:val="00DD00EF"/>
    <w:rsid w:val="00DD1CF8"/>
    <w:rsid w:val="00DD6102"/>
    <w:rsid w:val="00DD71F1"/>
    <w:rsid w:val="00DE00C5"/>
    <w:rsid w:val="00DE3FB5"/>
    <w:rsid w:val="00DF2749"/>
    <w:rsid w:val="00DF60A6"/>
    <w:rsid w:val="00E00D0A"/>
    <w:rsid w:val="00E05B5A"/>
    <w:rsid w:val="00E05F1B"/>
    <w:rsid w:val="00E07B93"/>
    <w:rsid w:val="00E07E15"/>
    <w:rsid w:val="00E1354A"/>
    <w:rsid w:val="00E161F8"/>
    <w:rsid w:val="00E26EE5"/>
    <w:rsid w:val="00E32815"/>
    <w:rsid w:val="00E33554"/>
    <w:rsid w:val="00E40596"/>
    <w:rsid w:val="00E40BA9"/>
    <w:rsid w:val="00E41B77"/>
    <w:rsid w:val="00E45EC3"/>
    <w:rsid w:val="00E47C4F"/>
    <w:rsid w:val="00E541A3"/>
    <w:rsid w:val="00E637BB"/>
    <w:rsid w:val="00E638C8"/>
    <w:rsid w:val="00E658DD"/>
    <w:rsid w:val="00E65D7E"/>
    <w:rsid w:val="00E70383"/>
    <w:rsid w:val="00E7427C"/>
    <w:rsid w:val="00E75972"/>
    <w:rsid w:val="00E815D2"/>
    <w:rsid w:val="00E82204"/>
    <w:rsid w:val="00E8377B"/>
    <w:rsid w:val="00E83A77"/>
    <w:rsid w:val="00E8796C"/>
    <w:rsid w:val="00E90251"/>
    <w:rsid w:val="00E933C0"/>
    <w:rsid w:val="00E962B7"/>
    <w:rsid w:val="00E96877"/>
    <w:rsid w:val="00E978BF"/>
    <w:rsid w:val="00EA1188"/>
    <w:rsid w:val="00EB0752"/>
    <w:rsid w:val="00EB0AE1"/>
    <w:rsid w:val="00EB1186"/>
    <w:rsid w:val="00EB77CC"/>
    <w:rsid w:val="00EC0997"/>
    <w:rsid w:val="00EC2EEF"/>
    <w:rsid w:val="00EC5DDD"/>
    <w:rsid w:val="00ED2F39"/>
    <w:rsid w:val="00ED30F4"/>
    <w:rsid w:val="00ED43BB"/>
    <w:rsid w:val="00ED449A"/>
    <w:rsid w:val="00ED68E9"/>
    <w:rsid w:val="00EE1FC2"/>
    <w:rsid w:val="00EF670C"/>
    <w:rsid w:val="00F11E62"/>
    <w:rsid w:val="00F11F09"/>
    <w:rsid w:val="00F1455B"/>
    <w:rsid w:val="00F16D36"/>
    <w:rsid w:val="00F210FD"/>
    <w:rsid w:val="00F250D2"/>
    <w:rsid w:val="00F33087"/>
    <w:rsid w:val="00F350B2"/>
    <w:rsid w:val="00F372A2"/>
    <w:rsid w:val="00F4243D"/>
    <w:rsid w:val="00F4304A"/>
    <w:rsid w:val="00F43155"/>
    <w:rsid w:val="00F44DA4"/>
    <w:rsid w:val="00F45BA7"/>
    <w:rsid w:val="00F45BE9"/>
    <w:rsid w:val="00F46308"/>
    <w:rsid w:val="00F46F4A"/>
    <w:rsid w:val="00F52CE1"/>
    <w:rsid w:val="00F57917"/>
    <w:rsid w:val="00F60788"/>
    <w:rsid w:val="00F7063D"/>
    <w:rsid w:val="00F70C88"/>
    <w:rsid w:val="00F7168A"/>
    <w:rsid w:val="00F734AD"/>
    <w:rsid w:val="00F745D9"/>
    <w:rsid w:val="00F76618"/>
    <w:rsid w:val="00F76E42"/>
    <w:rsid w:val="00F81D1B"/>
    <w:rsid w:val="00F83FBC"/>
    <w:rsid w:val="00F841A7"/>
    <w:rsid w:val="00F84292"/>
    <w:rsid w:val="00F85E04"/>
    <w:rsid w:val="00F864DA"/>
    <w:rsid w:val="00F9134D"/>
    <w:rsid w:val="00F916DA"/>
    <w:rsid w:val="00F92643"/>
    <w:rsid w:val="00F936B3"/>
    <w:rsid w:val="00F97F7D"/>
    <w:rsid w:val="00FA0333"/>
    <w:rsid w:val="00FA19D5"/>
    <w:rsid w:val="00FA3EE8"/>
    <w:rsid w:val="00FA6669"/>
    <w:rsid w:val="00FA7639"/>
    <w:rsid w:val="00FB3457"/>
    <w:rsid w:val="00FB3E2C"/>
    <w:rsid w:val="00FB695B"/>
    <w:rsid w:val="00FC037E"/>
    <w:rsid w:val="00FC19B9"/>
    <w:rsid w:val="00FC4DE3"/>
    <w:rsid w:val="00FC6716"/>
    <w:rsid w:val="00FD00A5"/>
    <w:rsid w:val="00FD4B0F"/>
    <w:rsid w:val="00FE0661"/>
    <w:rsid w:val="00FF0C09"/>
    <w:rsid w:val="00FF1DD7"/>
    <w:rsid w:val="00FF3775"/>
    <w:rsid w:val="01124C99"/>
    <w:rsid w:val="011C44BE"/>
    <w:rsid w:val="01A4698D"/>
    <w:rsid w:val="01CE5D1C"/>
    <w:rsid w:val="02910A6D"/>
    <w:rsid w:val="033E696D"/>
    <w:rsid w:val="039E595D"/>
    <w:rsid w:val="03B24C65"/>
    <w:rsid w:val="03CC21CB"/>
    <w:rsid w:val="04504BAA"/>
    <w:rsid w:val="045301F6"/>
    <w:rsid w:val="04826D2E"/>
    <w:rsid w:val="04AD3DAA"/>
    <w:rsid w:val="0512621F"/>
    <w:rsid w:val="054B6C6E"/>
    <w:rsid w:val="056F72B2"/>
    <w:rsid w:val="05BE78F1"/>
    <w:rsid w:val="05C4768B"/>
    <w:rsid w:val="05E82BC0"/>
    <w:rsid w:val="05FB0F82"/>
    <w:rsid w:val="061B11E8"/>
    <w:rsid w:val="06C21663"/>
    <w:rsid w:val="070F07F6"/>
    <w:rsid w:val="08083403"/>
    <w:rsid w:val="08332819"/>
    <w:rsid w:val="084F33CB"/>
    <w:rsid w:val="085B58CB"/>
    <w:rsid w:val="09622C8A"/>
    <w:rsid w:val="09BE5E2A"/>
    <w:rsid w:val="0A091F73"/>
    <w:rsid w:val="0A7D421F"/>
    <w:rsid w:val="0A8504E9"/>
    <w:rsid w:val="0B6E6353"/>
    <w:rsid w:val="0C2C7CAB"/>
    <w:rsid w:val="0C607954"/>
    <w:rsid w:val="0CF87B8D"/>
    <w:rsid w:val="0D4E59FF"/>
    <w:rsid w:val="0D8557F5"/>
    <w:rsid w:val="0D92619C"/>
    <w:rsid w:val="0E1F1149"/>
    <w:rsid w:val="0E4C5F96"/>
    <w:rsid w:val="0E811E04"/>
    <w:rsid w:val="0EB020D5"/>
    <w:rsid w:val="0F205179"/>
    <w:rsid w:val="0F2B69B1"/>
    <w:rsid w:val="0F412CA9"/>
    <w:rsid w:val="0F501F02"/>
    <w:rsid w:val="0F60004F"/>
    <w:rsid w:val="0F713C26"/>
    <w:rsid w:val="0F8C0A60"/>
    <w:rsid w:val="0F8E47D8"/>
    <w:rsid w:val="0F9022FF"/>
    <w:rsid w:val="0FD566D2"/>
    <w:rsid w:val="10A5002C"/>
    <w:rsid w:val="10A51DDA"/>
    <w:rsid w:val="11812847"/>
    <w:rsid w:val="11B12A00"/>
    <w:rsid w:val="128D6FC9"/>
    <w:rsid w:val="134F427F"/>
    <w:rsid w:val="13B2170D"/>
    <w:rsid w:val="13B7699A"/>
    <w:rsid w:val="13B97480"/>
    <w:rsid w:val="13FB420E"/>
    <w:rsid w:val="14031C5A"/>
    <w:rsid w:val="14034EB5"/>
    <w:rsid w:val="14870494"/>
    <w:rsid w:val="15085E8C"/>
    <w:rsid w:val="15174F60"/>
    <w:rsid w:val="1556095A"/>
    <w:rsid w:val="161855EA"/>
    <w:rsid w:val="167D7F24"/>
    <w:rsid w:val="17306AB5"/>
    <w:rsid w:val="17365E81"/>
    <w:rsid w:val="17373F64"/>
    <w:rsid w:val="17633D4D"/>
    <w:rsid w:val="178C784F"/>
    <w:rsid w:val="17B40B54"/>
    <w:rsid w:val="1881137E"/>
    <w:rsid w:val="18CB759E"/>
    <w:rsid w:val="191C10A7"/>
    <w:rsid w:val="19766A09"/>
    <w:rsid w:val="19A054D6"/>
    <w:rsid w:val="19C808E7"/>
    <w:rsid w:val="1A2E1092"/>
    <w:rsid w:val="1A6A1D62"/>
    <w:rsid w:val="1A705133"/>
    <w:rsid w:val="1B0717C8"/>
    <w:rsid w:val="1BA3785E"/>
    <w:rsid w:val="1BE22134"/>
    <w:rsid w:val="1BE33681"/>
    <w:rsid w:val="1C071CC0"/>
    <w:rsid w:val="1C704810"/>
    <w:rsid w:val="1CAC629E"/>
    <w:rsid w:val="1CBF06C7"/>
    <w:rsid w:val="1D5C4168"/>
    <w:rsid w:val="1D61352C"/>
    <w:rsid w:val="1D7768AC"/>
    <w:rsid w:val="1EB4768C"/>
    <w:rsid w:val="1ECE699F"/>
    <w:rsid w:val="1F5A0233"/>
    <w:rsid w:val="1F90634B"/>
    <w:rsid w:val="1FB21E1D"/>
    <w:rsid w:val="20653288"/>
    <w:rsid w:val="20F93B48"/>
    <w:rsid w:val="21823DE5"/>
    <w:rsid w:val="21851F92"/>
    <w:rsid w:val="21862EC6"/>
    <w:rsid w:val="21F04E7F"/>
    <w:rsid w:val="22394A78"/>
    <w:rsid w:val="237A2B2A"/>
    <w:rsid w:val="23DC1B5F"/>
    <w:rsid w:val="246456B0"/>
    <w:rsid w:val="24B959FC"/>
    <w:rsid w:val="24D44C08"/>
    <w:rsid w:val="253B4663"/>
    <w:rsid w:val="260D24A3"/>
    <w:rsid w:val="26230386"/>
    <w:rsid w:val="26955FF5"/>
    <w:rsid w:val="26AE1D39"/>
    <w:rsid w:val="26D42FC1"/>
    <w:rsid w:val="27383550"/>
    <w:rsid w:val="27D0783E"/>
    <w:rsid w:val="287B7B98"/>
    <w:rsid w:val="28BB49E1"/>
    <w:rsid w:val="28C46C0B"/>
    <w:rsid w:val="28FC235B"/>
    <w:rsid w:val="2910443B"/>
    <w:rsid w:val="292A6EC8"/>
    <w:rsid w:val="2AB949A8"/>
    <w:rsid w:val="2AC944BF"/>
    <w:rsid w:val="2ACD2201"/>
    <w:rsid w:val="2BF168AD"/>
    <w:rsid w:val="2C4F36F5"/>
    <w:rsid w:val="2C5B55EB"/>
    <w:rsid w:val="2CDD4252"/>
    <w:rsid w:val="2CF60F59"/>
    <w:rsid w:val="2D5E5392"/>
    <w:rsid w:val="2D5F22BD"/>
    <w:rsid w:val="2DE674FD"/>
    <w:rsid w:val="2F955E1F"/>
    <w:rsid w:val="2FE204FD"/>
    <w:rsid w:val="2FF37D11"/>
    <w:rsid w:val="3013049D"/>
    <w:rsid w:val="3026317E"/>
    <w:rsid w:val="303D06DE"/>
    <w:rsid w:val="30457642"/>
    <w:rsid w:val="31903F88"/>
    <w:rsid w:val="322E5C7B"/>
    <w:rsid w:val="32D22AAA"/>
    <w:rsid w:val="332C3D99"/>
    <w:rsid w:val="33484B1B"/>
    <w:rsid w:val="338866DE"/>
    <w:rsid w:val="341669C7"/>
    <w:rsid w:val="34264730"/>
    <w:rsid w:val="34825E0A"/>
    <w:rsid w:val="349166D9"/>
    <w:rsid w:val="34D66156"/>
    <w:rsid w:val="35074561"/>
    <w:rsid w:val="3561185B"/>
    <w:rsid w:val="35CF1523"/>
    <w:rsid w:val="363B44C3"/>
    <w:rsid w:val="365875C5"/>
    <w:rsid w:val="3663773C"/>
    <w:rsid w:val="37003CB9"/>
    <w:rsid w:val="371F7097"/>
    <w:rsid w:val="37BD53AB"/>
    <w:rsid w:val="37FC2378"/>
    <w:rsid w:val="38AE2074"/>
    <w:rsid w:val="38B67553"/>
    <w:rsid w:val="38B93DC5"/>
    <w:rsid w:val="392244EE"/>
    <w:rsid w:val="39356049"/>
    <w:rsid w:val="3A6D130B"/>
    <w:rsid w:val="3A8B353F"/>
    <w:rsid w:val="3AAB768C"/>
    <w:rsid w:val="3AC10DCA"/>
    <w:rsid w:val="3B4E60E4"/>
    <w:rsid w:val="3B7A3CDF"/>
    <w:rsid w:val="3B9B5684"/>
    <w:rsid w:val="3BFD221A"/>
    <w:rsid w:val="3BFE2074"/>
    <w:rsid w:val="3C192B60"/>
    <w:rsid w:val="3CF96617"/>
    <w:rsid w:val="3E5500EC"/>
    <w:rsid w:val="3E9A01F4"/>
    <w:rsid w:val="3EE31B9B"/>
    <w:rsid w:val="3F5C54AA"/>
    <w:rsid w:val="3F6E5909"/>
    <w:rsid w:val="3F844054"/>
    <w:rsid w:val="3F8C7277"/>
    <w:rsid w:val="3F9774E0"/>
    <w:rsid w:val="3F9D7F9C"/>
    <w:rsid w:val="3FA0222F"/>
    <w:rsid w:val="40714F85"/>
    <w:rsid w:val="40721429"/>
    <w:rsid w:val="40E566F0"/>
    <w:rsid w:val="4114603C"/>
    <w:rsid w:val="411C1395"/>
    <w:rsid w:val="41BC1DE0"/>
    <w:rsid w:val="42701998"/>
    <w:rsid w:val="42D769B6"/>
    <w:rsid w:val="43087E22"/>
    <w:rsid w:val="433B01F8"/>
    <w:rsid w:val="43D91FB7"/>
    <w:rsid w:val="447A4D50"/>
    <w:rsid w:val="44B32010"/>
    <w:rsid w:val="44F600D3"/>
    <w:rsid w:val="45617704"/>
    <w:rsid w:val="46317690"/>
    <w:rsid w:val="46357180"/>
    <w:rsid w:val="46E04202"/>
    <w:rsid w:val="474358CD"/>
    <w:rsid w:val="484D0086"/>
    <w:rsid w:val="486D3EFD"/>
    <w:rsid w:val="48B048DB"/>
    <w:rsid w:val="48E924A4"/>
    <w:rsid w:val="49095AC0"/>
    <w:rsid w:val="4A513E5D"/>
    <w:rsid w:val="4A873D23"/>
    <w:rsid w:val="4B1F3C01"/>
    <w:rsid w:val="4B8C0594"/>
    <w:rsid w:val="4BA6467C"/>
    <w:rsid w:val="4C0F7B1B"/>
    <w:rsid w:val="4C6562E6"/>
    <w:rsid w:val="4C883D82"/>
    <w:rsid w:val="4CC27294"/>
    <w:rsid w:val="4CFE380A"/>
    <w:rsid w:val="4D862B8C"/>
    <w:rsid w:val="4DE0235E"/>
    <w:rsid w:val="4DFF35F5"/>
    <w:rsid w:val="4EF47599"/>
    <w:rsid w:val="4FA26F09"/>
    <w:rsid w:val="4FE3578A"/>
    <w:rsid w:val="4FE63299"/>
    <w:rsid w:val="501047BA"/>
    <w:rsid w:val="51D6733E"/>
    <w:rsid w:val="51EE0B2B"/>
    <w:rsid w:val="525564B4"/>
    <w:rsid w:val="52662F28"/>
    <w:rsid w:val="52770B21"/>
    <w:rsid w:val="540B32CF"/>
    <w:rsid w:val="54AF45A2"/>
    <w:rsid w:val="54E94B5B"/>
    <w:rsid w:val="552E2619"/>
    <w:rsid w:val="55661639"/>
    <w:rsid w:val="55761622"/>
    <w:rsid w:val="55C51BA3"/>
    <w:rsid w:val="56424FA2"/>
    <w:rsid w:val="56D47F14"/>
    <w:rsid w:val="571F7091"/>
    <w:rsid w:val="57792C45"/>
    <w:rsid w:val="57D00194"/>
    <w:rsid w:val="59C503C4"/>
    <w:rsid w:val="5A19426B"/>
    <w:rsid w:val="5B3A093D"/>
    <w:rsid w:val="5BA30291"/>
    <w:rsid w:val="5BD857FA"/>
    <w:rsid w:val="5C080481"/>
    <w:rsid w:val="5C2F421A"/>
    <w:rsid w:val="5C8A1451"/>
    <w:rsid w:val="5C965957"/>
    <w:rsid w:val="5CBA16BC"/>
    <w:rsid w:val="5D1F6D26"/>
    <w:rsid w:val="5DD92690"/>
    <w:rsid w:val="5E202145"/>
    <w:rsid w:val="5F621BCD"/>
    <w:rsid w:val="5F893C41"/>
    <w:rsid w:val="5FDC6467"/>
    <w:rsid w:val="6031647B"/>
    <w:rsid w:val="60787F3E"/>
    <w:rsid w:val="607E307A"/>
    <w:rsid w:val="61963763"/>
    <w:rsid w:val="6198016C"/>
    <w:rsid w:val="619D1C63"/>
    <w:rsid w:val="61A2030D"/>
    <w:rsid w:val="626C3AD2"/>
    <w:rsid w:val="62D07C7B"/>
    <w:rsid w:val="62F74A7A"/>
    <w:rsid w:val="637F15E3"/>
    <w:rsid w:val="637F18BA"/>
    <w:rsid w:val="63824409"/>
    <w:rsid w:val="63853868"/>
    <w:rsid w:val="63B514A9"/>
    <w:rsid w:val="63EE6769"/>
    <w:rsid w:val="643E149E"/>
    <w:rsid w:val="65491EA9"/>
    <w:rsid w:val="65613229"/>
    <w:rsid w:val="66576249"/>
    <w:rsid w:val="668E2223"/>
    <w:rsid w:val="66BA2932"/>
    <w:rsid w:val="66F95174"/>
    <w:rsid w:val="66FE5F4E"/>
    <w:rsid w:val="683026D9"/>
    <w:rsid w:val="683706DE"/>
    <w:rsid w:val="689A6DDC"/>
    <w:rsid w:val="68C835DF"/>
    <w:rsid w:val="690C1B6B"/>
    <w:rsid w:val="690D2EE9"/>
    <w:rsid w:val="693F388B"/>
    <w:rsid w:val="694110E9"/>
    <w:rsid w:val="6941503B"/>
    <w:rsid w:val="696B6C9C"/>
    <w:rsid w:val="6A334ED5"/>
    <w:rsid w:val="6B431148"/>
    <w:rsid w:val="6C164AAF"/>
    <w:rsid w:val="6CAD0F6F"/>
    <w:rsid w:val="6CC938CF"/>
    <w:rsid w:val="6CFE48B8"/>
    <w:rsid w:val="6DBA21A1"/>
    <w:rsid w:val="6DC60A8A"/>
    <w:rsid w:val="6DE309C1"/>
    <w:rsid w:val="6E146DCC"/>
    <w:rsid w:val="6E3D1B65"/>
    <w:rsid w:val="6E4476B1"/>
    <w:rsid w:val="6EA13DB5"/>
    <w:rsid w:val="6F926B42"/>
    <w:rsid w:val="6FC565D0"/>
    <w:rsid w:val="6FDE7692"/>
    <w:rsid w:val="70C62D33"/>
    <w:rsid w:val="71186BD3"/>
    <w:rsid w:val="719F355D"/>
    <w:rsid w:val="71BB5EDC"/>
    <w:rsid w:val="722A3062"/>
    <w:rsid w:val="724A7260"/>
    <w:rsid w:val="72587BCF"/>
    <w:rsid w:val="73320420"/>
    <w:rsid w:val="73731F46"/>
    <w:rsid w:val="739369E5"/>
    <w:rsid w:val="73E060CE"/>
    <w:rsid w:val="73F05BE5"/>
    <w:rsid w:val="741C5549"/>
    <w:rsid w:val="74EE481B"/>
    <w:rsid w:val="74EE65C9"/>
    <w:rsid w:val="754206C3"/>
    <w:rsid w:val="75B90985"/>
    <w:rsid w:val="75EF43A6"/>
    <w:rsid w:val="76065B94"/>
    <w:rsid w:val="76191423"/>
    <w:rsid w:val="764F12E9"/>
    <w:rsid w:val="766F7295"/>
    <w:rsid w:val="769B008A"/>
    <w:rsid w:val="76A21419"/>
    <w:rsid w:val="774A6156"/>
    <w:rsid w:val="779416A9"/>
    <w:rsid w:val="786F5C73"/>
    <w:rsid w:val="78AF3D07"/>
    <w:rsid w:val="78D15FE5"/>
    <w:rsid w:val="790C34C1"/>
    <w:rsid w:val="7AF5051C"/>
    <w:rsid w:val="7B2C31E8"/>
    <w:rsid w:val="7B7C20E7"/>
    <w:rsid w:val="7BBA680A"/>
    <w:rsid w:val="7BE826AE"/>
    <w:rsid w:val="7CCF532E"/>
    <w:rsid w:val="7D9615AC"/>
    <w:rsid w:val="7DAE0FEB"/>
    <w:rsid w:val="7E00338F"/>
    <w:rsid w:val="7E2D1F10"/>
    <w:rsid w:val="7E5020A2"/>
    <w:rsid w:val="7E611BB9"/>
    <w:rsid w:val="7E8E6727"/>
    <w:rsid w:val="7EFB0260"/>
    <w:rsid w:val="7F5636E8"/>
    <w:rsid w:val="7F737DF6"/>
    <w:rsid w:val="7FDB72D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iPriority="0" w:name="index 1"/>
    <w:lsdException w:uiPriority="0" w:name="index 2"/>
    <w:lsdException w:uiPriority="0" w:name="index 3"/>
    <w:lsdException w:uiPriority="0" w:name="index 4"/>
    <w:lsdException w:uiPriority="0" w:name="index 5"/>
    <w:lsdException w:uiPriority="0" w:name="index 6"/>
    <w:lsdException w:uiPriority="0" w:name="index 7"/>
    <w:lsdException w:uiPriority="0" w:name="index 8"/>
    <w:lsdException w:uiPriority="0" w:name="index 9"/>
    <w:lsdException w:uiPriority="0" w:name="toc 1"/>
    <w:lsdException w:uiPriority="0" w:name="toc 2"/>
    <w:lsdException w:uiPriority="0" w:name="toc 3"/>
    <w:lsdException w:uiPriority="0" w:name="toc 4"/>
    <w:lsdException w:uiPriority="0" w:name="toc 5"/>
    <w:lsdException w:uiPriority="0" w:name="toc 6"/>
    <w:lsdException w:uiPriority="0" w:name="toc 7"/>
    <w:lsdException w:uiPriority="0" w:name="toc 8"/>
    <w:lsdException w:uiPriority="0" w:name="toc 9"/>
    <w:lsdException w:uiPriority="0" w:name="Normal Indent"/>
    <w:lsdException w:uiPriority="0" w:name="footnote text"/>
    <w:lsdException w:uiPriority="0" w:name="annotation text"/>
    <w:lsdException w:qFormat="1" w:unhideWhenUsed="0" w:uiPriority="0" w:semiHidden="0" w:name="header"/>
    <w:lsdException w:qFormat="1" w:unhideWhenUsed="0" w:uiPriority="99" w:semiHidden="0" w:name="footer"/>
    <w:lsdException w:uiPriority="0" w:name="index heading"/>
    <w:lsdException w:qFormat="1" w:uiPriority="0" w:name="caption"/>
    <w:lsdException w:uiPriority="0" w:name="table of figures"/>
    <w:lsdException w:uiPriority="0" w:name="envelope address"/>
    <w:lsdException w:uiPriority="0" w:name="envelope return"/>
    <w:lsdException w:uiPriority="0" w:name="footnote reference"/>
    <w:lsdException w:uiPriority="0" w:name="annotation reference"/>
    <w:lsdException w:uiPriority="0" w:name="line number"/>
    <w:lsdException w:uiPriority="0" w:name="page number"/>
    <w:lsdException w:uiPriority="0" w:name="endnote reference"/>
    <w:lsdException w:uiPriority="0" w:name="endnote text"/>
    <w:lsdException w:unhideWhenUsed="0" w:uiPriority="0" w:semiHidden="0" w:name="table of authorities"/>
    <w:lsdException w:uiPriority="0" w:name="macro"/>
    <w:lsdException w:uiPriority="0" w:name="toa heading"/>
    <w:lsdException w:unhideWhenUsed="0" w:uiPriority="0" w:semiHidden="0" w:name="List"/>
    <w:lsdException w:unhideWhenUsed="0" w:uiPriority="0" w:semiHidden="0" w:name="List Bullet"/>
    <w:lsdException w:uiPriority="0" w:name="List Number"/>
    <w:lsdException w:uiPriority="0" w:name="List 2"/>
    <w:lsdException w:uiPriority="0" w:name="List 3"/>
    <w:lsdException w:uiPriority="0" w:name="List 4"/>
    <w:lsdException w:uiPriority="0" w:name="List 5"/>
    <w:lsdException w:uiPriority="0" w:name="List Bullet 2"/>
    <w:lsdException w:uiPriority="0" w:name="List Bullet 3"/>
    <w:lsdException w:uiPriority="0" w:name="List Bullet 4"/>
    <w:lsdException w:uiPriority="0" w:name="List Bullet 5"/>
    <w:lsdException w:uiPriority="0" w:name="List Number 2"/>
    <w:lsdException w:uiPriority="0" w:name="List Number 3"/>
    <w:lsdException w:uiPriority="0" w:name="List Number 4"/>
    <w:lsdException w:uiPriority="0" w:name="List Number 5"/>
    <w:lsdException w:qFormat="1" w:unhideWhenUsed="0" w:uiPriority="0" w:semiHidden="0" w:name="Title"/>
    <w:lsdException w:uiPriority="0" w:name="Closing"/>
    <w:lsdException w:uiPriority="0" w:name="Signature"/>
    <w:lsdException w:qFormat="1" w:uiPriority="1" w:name="Default Paragraph Font"/>
    <w:lsdException w:uiPriority="0" w:name="Body Text"/>
    <w:lsdException w:uiPriority="0" w:name="Body Text Indent"/>
    <w:lsdException w:uiPriority="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iPriority="0" w:name="Message Header"/>
    <w:lsdException w:qFormat="1" w:unhideWhenUsed="0" w:uiPriority="0" w:semiHidden="0" w:name="Subtitle"/>
    <w:lsdException w:uiPriority="0" w:name="Salutation"/>
    <w:lsdException w:uiPriority="0" w:name="Date"/>
    <w:lsdException w:uiPriority="0" w:name="Body Text First Indent"/>
    <w:lsdException w:uiPriority="0" w:name="Body Text First Indent 2"/>
    <w:lsdException w:uiPriority="0" w:name="Note Heading"/>
    <w:lsdException w:uiPriority="0" w:name="Body Text 2"/>
    <w:lsdException w:uiPriority="0" w:name="Body Text 3"/>
    <w:lsdException w:uiPriority="0" w:name="Body Text Indent 2"/>
    <w:lsdException w:uiPriority="0" w:name="Body Text Indent 3"/>
    <w:lsdException w:uiPriority="0" w:name="Block Text"/>
    <w:lsdException w:qFormat="1" w:uiPriority="99" w:semiHidden="0" w:name="Hyperlink"/>
    <w:lsdException w:uiPriority="0" w:name="FollowedHyperlink"/>
    <w:lsdException w:qFormat="1" w:unhideWhenUsed="0" w:uiPriority="0" w:semiHidden="0" w:name="Strong"/>
    <w:lsdException w:qFormat="1" w:unhideWhenUsed="0" w:uiPriority="0" w:semiHidden="0" w:name="Emphasis"/>
    <w:lsdException w:uiPriority="0" w:name="Document Map"/>
    <w:lsdException w:uiPriority="0" w:name="Plain Text"/>
    <w:lsdException w:uiPriority="0" w:name="E-mail Signature"/>
    <w:lsdException w:qFormat="1" w:unhideWhenUsed="0" w:uiPriority="99" w:semiHidden="0" w:name="Normal (Web)"/>
    <w:lsdException w:uiPriority="0" w:name="HTML Acronym"/>
    <w:lsdException w:uiPriority="0" w:name="HTML Address"/>
    <w:lsdException w:uiPriority="0" w:name="HTML Cite"/>
    <w:lsdException w:uiPriority="0" w:name="HTML Code"/>
    <w:lsdException w:uiPriority="0" w:name="HTML Definition"/>
    <w:lsdException w:uiPriority="0" w:name="HTML Keyboard"/>
    <w:lsdException w:uiPriority="0" w:name="HTML Preformatted"/>
    <w:lsdException w:uiPriority="0" w:name="HTML Sample"/>
    <w:lsdException w:uiPriority="0" w:name="HTML Typewriter"/>
    <w:lsdException w:uiPriority="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iPriority="0" w:name="Balloon Text"/>
    <w:lsdException w:qFormat="1" w:unhideWhenUsed="0" w:uiPriority="39"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ind w:firstLine="880" w:firstLineChars="200"/>
      <w:jc w:val="both"/>
    </w:pPr>
    <w:rPr>
      <w:rFonts w:ascii="Times New Roman" w:hAnsi="Times New Roman" w:eastAsia="仿宋_GB2312" w:cs="Times New Roman"/>
      <w:kern w:val="2"/>
      <w:sz w:val="32"/>
      <w:szCs w:val="24"/>
      <w:lang w:val="en-US" w:eastAsia="zh-CN" w:bidi="ar-SA"/>
    </w:rPr>
  </w:style>
  <w:style w:type="character" w:default="1" w:styleId="8">
    <w:name w:val="Default Paragraph Font"/>
    <w:semiHidden/>
    <w:unhideWhenUsed/>
    <w:qFormat/>
    <w:uiPriority w:val="1"/>
  </w:style>
  <w:style w:type="table" w:default="1" w:styleId="6">
    <w:name w:val="Normal Table"/>
    <w:semiHidden/>
    <w:unhideWhenUsed/>
    <w:qFormat/>
    <w:uiPriority w:val="99"/>
    <w:tblPr>
      <w:tblCellMar>
        <w:top w:w="0" w:type="dxa"/>
        <w:left w:w="108" w:type="dxa"/>
        <w:bottom w:w="0" w:type="dxa"/>
        <w:right w:w="108" w:type="dxa"/>
      </w:tblCellMar>
    </w:tblPr>
  </w:style>
  <w:style w:type="paragraph" w:styleId="2">
    <w:name w:val="Balloon Text"/>
    <w:basedOn w:val="1"/>
    <w:link w:val="35"/>
    <w:semiHidden/>
    <w:unhideWhenUsed/>
    <w:qFormat/>
    <w:uiPriority w:val="0"/>
    <w:rPr>
      <w:sz w:val="18"/>
      <w:szCs w:val="18"/>
    </w:rPr>
  </w:style>
  <w:style w:type="paragraph" w:styleId="3">
    <w:name w:val="footer"/>
    <w:basedOn w:val="1"/>
    <w:link w:val="27"/>
    <w:qFormat/>
    <w:uiPriority w:val="99"/>
    <w:pPr>
      <w:tabs>
        <w:tab w:val="center" w:pos="4153"/>
        <w:tab w:val="right" w:pos="8306"/>
      </w:tabs>
      <w:snapToGrid w:val="0"/>
      <w:jc w:val="left"/>
    </w:pPr>
    <w:rPr>
      <w:sz w:val="18"/>
      <w:szCs w:val="18"/>
    </w:rPr>
  </w:style>
  <w:style w:type="paragraph" w:styleId="4">
    <w:name w:val="header"/>
    <w:basedOn w:val="1"/>
    <w:link w:val="26"/>
    <w:qFormat/>
    <w:uiPriority w:val="0"/>
    <w:pPr>
      <w:pBdr>
        <w:bottom w:val="single" w:color="auto" w:sz="6" w:space="1"/>
      </w:pBdr>
      <w:tabs>
        <w:tab w:val="center" w:pos="4153"/>
        <w:tab w:val="right" w:pos="8306"/>
      </w:tabs>
      <w:snapToGrid w:val="0"/>
      <w:jc w:val="center"/>
    </w:pPr>
    <w:rPr>
      <w:sz w:val="18"/>
      <w:szCs w:val="18"/>
    </w:rPr>
  </w:style>
  <w:style w:type="paragraph" w:styleId="5">
    <w:name w:val="Normal (Web)"/>
    <w:basedOn w:val="1"/>
    <w:qFormat/>
    <w:uiPriority w:val="99"/>
    <w:pPr>
      <w:spacing w:before="100" w:beforeAutospacing="1" w:after="100" w:afterAutospacing="1"/>
      <w:jc w:val="left"/>
    </w:pPr>
    <w:rPr>
      <w:kern w:val="0"/>
      <w:sz w:val="24"/>
    </w:rPr>
  </w:style>
  <w:style w:type="table" w:styleId="7">
    <w:name w:val="Table Grid"/>
    <w:basedOn w:val="6"/>
    <w:qFormat/>
    <w:uiPriority w:val="39"/>
    <w:rPr>
      <w:rFonts w:ascii="宋体"/>
      <w:sz w:val="18"/>
      <w:szCs w:val="18"/>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character" w:styleId="9">
    <w:name w:val="Hyperlink"/>
    <w:basedOn w:val="8"/>
    <w:unhideWhenUsed/>
    <w:qFormat/>
    <w:uiPriority w:val="99"/>
    <w:rPr>
      <w:color w:val="0000FF"/>
      <w:u w:val="single"/>
    </w:rPr>
  </w:style>
  <w:style w:type="paragraph" w:customStyle="1" w:styleId="10">
    <w:name w:val="段"/>
    <w:link w:val="25"/>
    <w:qFormat/>
    <w:uiPriority w:val="0"/>
    <w:pPr>
      <w:tabs>
        <w:tab w:val="center" w:pos="4201"/>
        <w:tab w:val="right" w:leader="dot" w:pos="9298"/>
      </w:tabs>
      <w:autoSpaceDE w:val="0"/>
      <w:autoSpaceDN w:val="0"/>
      <w:ind w:firstLine="420" w:firstLineChars="200"/>
      <w:jc w:val="both"/>
    </w:pPr>
    <w:rPr>
      <w:rFonts w:ascii="宋体" w:hAnsi="Times New Roman" w:eastAsia="宋体" w:cs="Times New Roman"/>
      <w:sz w:val="21"/>
      <w:lang w:val="en-US" w:eastAsia="zh-CN" w:bidi="ar-SA"/>
    </w:rPr>
  </w:style>
  <w:style w:type="paragraph" w:customStyle="1" w:styleId="11">
    <w:name w:val="正文表标题"/>
    <w:next w:val="10"/>
    <w:qFormat/>
    <w:uiPriority w:val="0"/>
    <w:pPr>
      <w:spacing w:beforeLines="50" w:afterLines="50"/>
      <w:jc w:val="center"/>
    </w:pPr>
    <w:rPr>
      <w:rFonts w:ascii="黑体" w:hAnsi="Times New Roman" w:eastAsia="黑体" w:cs="Times New Roman"/>
      <w:sz w:val="21"/>
      <w:lang w:val="en-US" w:eastAsia="zh-CN" w:bidi="ar-SA"/>
    </w:rPr>
  </w:style>
  <w:style w:type="paragraph" w:customStyle="1" w:styleId="12">
    <w:name w:val="正文图标题"/>
    <w:next w:val="10"/>
    <w:qFormat/>
    <w:uiPriority w:val="0"/>
    <w:pPr>
      <w:numPr>
        <w:ilvl w:val="0"/>
        <w:numId w:val="1"/>
      </w:numPr>
      <w:tabs>
        <w:tab w:val="left" w:pos="360"/>
      </w:tabs>
      <w:spacing w:beforeLines="50" w:afterLines="50"/>
      <w:jc w:val="center"/>
    </w:pPr>
    <w:rPr>
      <w:rFonts w:ascii="黑体" w:hAnsi="Times New Roman" w:eastAsia="黑体" w:cs="Times New Roman"/>
      <w:sz w:val="21"/>
      <w:lang w:val="en-US" w:eastAsia="zh-CN" w:bidi="ar-SA"/>
    </w:rPr>
  </w:style>
  <w:style w:type="paragraph" w:customStyle="1" w:styleId="13">
    <w:name w:val="其他发布日期"/>
    <w:basedOn w:val="1"/>
    <w:qFormat/>
    <w:uiPriority w:val="0"/>
    <w:pPr>
      <w:framePr w:w="3997" w:h="471" w:hRule="exact" w:vSpace="181" w:wrap="around" w:vAnchor="page" w:hAnchor="page" w:x="1419" w:y="14097" w:anchorLock="1"/>
      <w:widowControl/>
      <w:numPr>
        <w:ilvl w:val="0"/>
        <w:numId w:val="2"/>
      </w:numPr>
      <w:jc w:val="left"/>
    </w:pPr>
    <w:rPr>
      <w:rFonts w:eastAsia="黑体"/>
      <w:kern w:val="0"/>
      <w:sz w:val="28"/>
      <w:szCs w:val="20"/>
    </w:rPr>
  </w:style>
  <w:style w:type="paragraph" w:customStyle="1" w:styleId="14">
    <w:name w:val="一级条标题"/>
    <w:next w:val="10"/>
    <w:qFormat/>
    <w:uiPriority w:val="0"/>
    <w:pPr>
      <w:numPr>
        <w:ilvl w:val="1"/>
        <w:numId w:val="3"/>
      </w:numPr>
      <w:spacing w:beforeLines="50" w:afterLines="50"/>
      <w:outlineLvl w:val="2"/>
    </w:pPr>
    <w:rPr>
      <w:rFonts w:ascii="黑体" w:hAnsi="Times New Roman" w:eastAsia="黑体" w:cs="Times New Roman"/>
      <w:sz w:val="21"/>
      <w:szCs w:val="21"/>
      <w:lang w:val="en-US" w:eastAsia="zh-CN" w:bidi="ar-SA"/>
    </w:rPr>
  </w:style>
  <w:style w:type="paragraph" w:customStyle="1" w:styleId="15">
    <w:name w:val="章标题"/>
    <w:next w:val="10"/>
    <w:qFormat/>
    <w:uiPriority w:val="0"/>
    <w:pPr>
      <w:numPr>
        <w:ilvl w:val="0"/>
        <w:numId w:val="3"/>
      </w:numPr>
      <w:spacing w:beforeLines="100" w:afterLines="100"/>
      <w:jc w:val="both"/>
      <w:outlineLvl w:val="1"/>
    </w:pPr>
    <w:rPr>
      <w:rFonts w:ascii="黑体" w:hAnsi="Times New Roman" w:eastAsia="黑体" w:cs="Times New Roman"/>
      <w:sz w:val="21"/>
      <w:lang w:val="en-US" w:eastAsia="zh-CN" w:bidi="ar-SA"/>
    </w:rPr>
  </w:style>
  <w:style w:type="paragraph" w:customStyle="1" w:styleId="16">
    <w:name w:val="二级条标题"/>
    <w:basedOn w:val="14"/>
    <w:next w:val="10"/>
    <w:qFormat/>
    <w:uiPriority w:val="0"/>
    <w:pPr>
      <w:numPr>
        <w:ilvl w:val="2"/>
      </w:numPr>
      <w:spacing w:before="50" w:after="50"/>
      <w:outlineLvl w:val="3"/>
    </w:pPr>
  </w:style>
  <w:style w:type="paragraph" w:customStyle="1" w:styleId="17">
    <w:name w:val="三级条标题"/>
    <w:basedOn w:val="16"/>
    <w:next w:val="10"/>
    <w:qFormat/>
    <w:uiPriority w:val="0"/>
    <w:pPr>
      <w:numPr>
        <w:ilvl w:val="3"/>
      </w:numPr>
      <w:outlineLvl w:val="4"/>
    </w:pPr>
  </w:style>
  <w:style w:type="paragraph" w:customStyle="1" w:styleId="18">
    <w:name w:val="四级条标题"/>
    <w:basedOn w:val="17"/>
    <w:next w:val="10"/>
    <w:qFormat/>
    <w:uiPriority w:val="0"/>
    <w:pPr>
      <w:numPr>
        <w:ilvl w:val="4"/>
      </w:numPr>
      <w:outlineLvl w:val="5"/>
    </w:pPr>
  </w:style>
  <w:style w:type="paragraph" w:customStyle="1" w:styleId="19">
    <w:name w:val="五级条标题"/>
    <w:basedOn w:val="18"/>
    <w:next w:val="10"/>
    <w:qFormat/>
    <w:uiPriority w:val="0"/>
    <w:pPr>
      <w:numPr>
        <w:ilvl w:val="5"/>
      </w:numPr>
      <w:outlineLvl w:val="6"/>
    </w:pPr>
  </w:style>
  <w:style w:type="paragraph" w:customStyle="1" w:styleId="20">
    <w:name w:val="注："/>
    <w:next w:val="10"/>
    <w:qFormat/>
    <w:uiPriority w:val="0"/>
    <w:pPr>
      <w:widowControl w:val="0"/>
      <w:numPr>
        <w:ilvl w:val="0"/>
        <w:numId w:val="4"/>
      </w:numPr>
      <w:autoSpaceDE w:val="0"/>
      <w:autoSpaceDN w:val="0"/>
      <w:ind w:left="726" w:hanging="363"/>
      <w:jc w:val="both"/>
    </w:pPr>
    <w:rPr>
      <w:rFonts w:ascii="宋体" w:hAnsi="Times New Roman" w:eastAsia="宋体" w:cs="Times New Roman"/>
      <w:sz w:val="18"/>
      <w:szCs w:val="18"/>
      <w:lang w:val="en-US" w:eastAsia="zh-CN" w:bidi="ar-SA"/>
    </w:rPr>
  </w:style>
  <w:style w:type="paragraph" w:customStyle="1" w:styleId="21">
    <w:name w:val="附录图标号"/>
    <w:basedOn w:val="1"/>
    <w:qFormat/>
    <w:uiPriority w:val="0"/>
    <w:pPr>
      <w:keepNext/>
      <w:pageBreakBefore/>
      <w:widowControl/>
      <w:numPr>
        <w:ilvl w:val="0"/>
        <w:numId w:val="5"/>
      </w:numPr>
      <w:spacing w:line="14" w:lineRule="exact"/>
      <w:ind w:left="0" w:firstLine="363"/>
      <w:jc w:val="center"/>
      <w:outlineLvl w:val="0"/>
    </w:pPr>
    <w:rPr>
      <w:color w:val="FFFFFF"/>
    </w:rPr>
  </w:style>
  <w:style w:type="paragraph" w:customStyle="1" w:styleId="22">
    <w:name w:val="附录图标题"/>
    <w:basedOn w:val="1"/>
    <w:next w:val="10"/>
    <w:qFormat/>
    <w:uiPriority w:val="0"/>
    <w:pPr>
      <w:numPr>
        <w:ilvl w:val="1"/>
        <w:numId w:val="5"/>
      </w:numPr>
      <w:tabs>
        <w:tab w:val="left" w:pos="363"/>
      </w:tabs>
      <w:spacing w:beforeLines="50" w:afterLines="50"/>
      <w:ind w:left="0" w:firstLine="0"/>
      <w:jc w:val="center"/>
    </w:pPr>
    <w:rPr>
      <w:rFonts w:ascii="黑体" w:eastAsia="黑体"/>
      <w:szCs w:val="21"/>
    </w:rPr>
  </w:style>
  <w:style w:type="paragraph" w:customStyle="1" w:styleId="23">
    <w:name w:val="注×：（正文）"/>
    <w:qFormat/>
    <w:uiPriority w:val="0"/>
    <w:pPr>
      <w:numPr>
        <w:ilvl w:val="0"/>
        <w:numId w:val="6"/>
      </w:numPr>
      <w:jc w:val="both"/>
    </w:pPr>
    <w:rPr>
      <w:rFonts w:ascii="宋体" w:hAnsi="Times New Roman" w:eastAsia="宋体" w:cs="Times New Roman"/>
      <w:sz w:val="18"/>
      <w:szCs w:val="18"/>
      <w:lang w:val="en-US" w:eastAsia="zh-CN" w:bidi="ar-SA"/>
    </w:rPr>
  </w:style>
  <w:style w:type="paragraph" w:customStyle="1" w:styleId="24">
    <w:name w:val="图表脚注说明"/>
    <w:basedOn w:val="1"/>
    <w:qFormat/>
    <w:uiPriority w:val="0"/>
    <w:pPr>
      <w:numPr>
        <w:ilvl w:val="0"/>
        <w:numId w:val="7"/>
      </w:numPr>
    </w:pPr>
    <w:rPr>
      <w:rFonts w:ascii="宋体"/>
      <w:sz w:val="18"/>
      <w:szCs w:val="18"/>
    </w:rPr>
  </w:style>
  <w:style w:type="character" w:customStyle="1" w:styleId="25">
    <w:name w:val="段 Char"/>
    <w:basedOn w:val="8"/>
    <w:link w:val="10"/>
    <w:qFormat/>
    <w:uiPriority w:val="0"/>
    <w:rPr>
      <w:rFonts w:ascii="宋体"/>
      <w:sz w:val="21"/>
      <w:lang w:val="en-US" w:eastAsia="zh-CN" w:bidi="ar-SA"/>
    </w:rPr>
  </w:style>
  <w:style w:type="character" w:customStyle="1" w:styleId="26">
    <w:name w:val="页眉 字符"/>
    <w:basedOn w:val="8"/>
    <w:link w:val="4"/>
    <w:qFormat/>
    <w:uiPriority w:val="0"/>
    <w:rPr>
      <w:kern w:val="2"/>
      <w:sz w:val="18"/>
      <w:szCs w:val="18"/>
    </w:rPr>
  </w:style>
  <w:style w:type="character" w:customStyle="1" w:styleId="27">
    <w:name w:val="页脚 字符"/>
    <w:basedOn w:val="8"/>
    <w:link w:val="3"/>
    <w:qFormat/>
    <w:uiPriority w:val="99"/>
    <w:rPr>
      <w:kern w:val="2"/>
      <w:sz w:val="18"/>
      <w:szCs w:val="18"/>
    </w:rPr>
  </w:style>
  <w:style w:type="paragraph" w:customStyle="1" w:styleId="28">
    <w:name w:val="附录表标题"/>
    <w:basedOn w:val="1"/>
    <w:next w:val="10"/>
    <w:qFormat/>
    <w:uiPriority w:val="0"/>
    <w:pPr>
      <w:numPr>
        <w:ilvl w:val="1"/>
        <w:numId w:val="8"/>
      </w:numPr>
      <w:tabs>
        <w:tab w:val="left" w:pos="180"/>
      </w:tabs>
      <w:spacing w:beforeLines="50" w:afterLines="50"/>
      <w:ind w:left="0" w:firstLine="0"/>
      <w:jc w:val="center"/>
    </w:pPr>
    <w:rPr>
      <w:rFonts w:ascii="黑体" w:eastAsia="黑体"/>
      <w:szCs w:val="21"/>
    </w:rPr>
  </w:style>
  <w:style w:type="paragraph" w:styleId="29">
    <w:name w:val="List Paragraph"/>
    <w:basedOn w:val="1"/>
    <w:unhideWhenUsed/>
    <w:qFormat/>
    <w:uiPriority w:val="34"/>
    <w:pPr>
      <w:ind w:firstLine="420" w:firstLineChars="200"/>
    </w:pPr>
  </w:style>
  <w:style w:type="paragraph" w:customStyle="1" w:styleId="30">
    <w:name w:val="其他标准称谓"/>
    <w:qFormat/>
    <w:uiPriority w:val="0"/>
    <w:pPr>
      <w:spacing w:line="0" w:lineRule="atLeast"/>
      <w:jc w:val="distribute"/>
    </w:pPr>
    <w:rPr>
      <w:rFonts w:ascii="黑体" w:hAnsi="宋体" w:eastAsia="黑体" w:cs="Times New Roman"/>
      <w:sz w:val="52"/>
      <w:lang w:val="en-US" w:eastAsia="zh-CN" w:bidi="ar-SA"/>
    </w:rPr>
  </w:style>
  <w:style w:type="paragraph" w:customStyle="1" w:styleId="31">
    <w:name w:val="封面标准号1"/>
    <w:qFormat/>
    <w:uiPriority w:val="0"/>
    <w:pPr>
      <w:widowControl w:val="0"/>
      <w:kinsoku w:val="0"/>
      <w:overflowPunct w:val="0"/>
      <w:autoSpaceDE w:val="0"/>
      <w:autoSpaceDN w:val="0"/>
      <w:spacing w:before="308"/>
      <w:jc w:val="right"/>
      <w:textAlignment w:val="center"/>
    </w:pPr>
    <w:rPr>
      <w:rFonts w:ascii="Times New Roman" w:hAnsi="Times New Roman" w:eastAsia="宋体" w:cs="Times New Roman"/>
      <w:sz w:val="28"/>
      <w:lang w:val="en-US" w:eastAsia="zh-CN" w:bidi="ar-SA"/>
    </w:rPr>
  </w:style>
  <w:style w:type="character" w:customStyle="1" w:styleId="32">
    <w:name w:val="发布"/>
    <w:qFormat/>
    <w:uiPriority w:val="0"/>
    <w:rPr>
      <w:rFonts w:ascii="黑体" w:eastAsia="黑体"/>
      <w:spacing w:val="22"/>
      <w:w w:val="100"/>
      <w:position w:val="3"/>
      <w:sz w:val="28"/>
    </w:rPr>
  </w:style>
  <w:style w:type="paragraph" w:customStyle="1" w:styleId="33">
    <w:name w:val="其他发布部门"/>
    <w:basedOn w:val="1"/>
    <w:qFormat/>
    <w:uiPriority w:val="0"/>
    <w:pPr>
      <w:widowControl/>
      <w:spacing w:line="0" w:lineRule="atLeast"/>
      <w:jc w:val="center"/>
    </w:pPr>
    <w:rPr>
      <w:rFonts w:ascii="黑体" w:eastAsia="黑体"/>
      <w:spacing w:val="20"/>
      <w:w w:val="135"/>
      <w:kern w:val="0"/>
      <w:sz w:val="36"/>
      <w:szCs w:val="20"/>
    </w:rPr>
  </w:style>
  <w:style w:type="paragraph" w:customStyle="1" w:styleId="34">
    <w:name w:val="标准文件_段"/>
    <w:qFormat/>
    <w:uiPriority w:val="0"/>
    <w:pPr>
      <w:autoSpaceDE w:val="0"/>
      <w:autoSpaceDN w:val="0"/>
      <w:ind w:firstLine="200" w:firstLineChars="200"/>
      <w:jc w:val="both"/>
    </w:pPr>
    <w:rPr>
      <w:rFonts w:ascii="宋体" w:hAnsi="Times New Roman" w:eastAsia="宋体" w:cs="Times New Roman"/>
      <w:sz w:val="21"/>
      <w:lang w:val="en-US" w:eastAsia="zh-CN" w:bidi="ar-SA"/>
    </w:rPr>
  </w:style>
  <w:style w:type="character" w:customStyle="1" w:styleId="35">
    <w:name w:val="批注框文本 字符"/>
    <w:basedOn w:val="8"/>
    <w:link w:val="2"/>
    <w:semiHidden/>
    <w:qFormat/>
    <w:uiPriority w:val="0"/>
    <w:rPr>
      <w:rFonts w:ascii="Times New Roman" w:hAnsi="Times New Roman"/>
      <w:kern w:val="2"/>
      <w:sz w:val="18"/>
      <w:szCs w:val="18"/>
    </w:rPr>
  </w:style>
  <w:style w:type="paragraph" w:customStyle="1" w:styleId="36">
    <w:name w:val="标准文件_一级条标题"/>
    <w:basedOn w:val="37"/>
    <w:next w:val="34"/>
    <w:qFormat/>
    <w:uiPriority w:val="0"/>
    <w:pPr>
      <w:numPr>
        <w:ilvl w:val="2"/>
      </w:numPr>
      <w:spacing w:beforeLines="50" w:afterLines="50"/>
      <w:outlineLvl w:val="1"/>
    </w:pPr>
  </w:style>
  <w:style w:type="paragraph" w:customStyle="1" w:styleId="37">
    <w:name w:val="标准文件_章标题"/>
    <w:next w:val="34"/>
    <w:qFormat/>
    <w:uiPriority w:val="0"/>
    <w:pPr>
      <w:numPr>
        <w:ilvl w:val="1"/>
        <w:numId w:val="9"/>
      </w:numPr>
      <w:spacing w:beforeLines="100" w:afterLines="100"/>
      <w:jc w:val="both"/>
      <w:outlineLvl w:val="0"/>
    </w:pPr>
    <w:rPr>
      <w:rFonts w:ascii="黑体" w:hAnsi="Times New Roman" w:eastAsia="黑体" w:cs="Times New Roman"/>
      <w:sz w:val="21"/>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image" Target="media/image3.png"/><Relationship Id="rId8" Type="http://schemas.openxmlformats.org/officeDocument/2006/relationships/image" Target="media/image2.png"/><Relationship Id="rId7" Type="http://schemas.openxmlformats.org/officeDocument/2006/relationships/image" Target="media/image1.png"/><Relationship Id="rId6" Type="http://schemas.openxmlformats.org/officeDocument/2006/relationships/theme" Target="theme/theme1.xml"/><Relationship Id="rId5" Type="http://schemas.openxmlformats.org/officeDocument/2006/relationships/footer" Target="footer1.xml"/><Relationship Id="rId41" Type="http://schemas.openxmlformats.org/officeDocument/2006/relationships/fontTable" Target="fontTable.xml"/><Relationship Id="rId40" Type="http://schemas.openxmlformats.org/officeDocument/2006/relationships/numbering" Target="numbering.xml"/><Relationship Id="rId4" Type="http://schemas.openxmlformats.org/officeDocument/2006/relationships/endnotes" Target="endnotes.xml"/><Relationship Id="rId39" Type="http://schemas.openxmlformats.org/officeDocument/2006/relationships/image" Target="media/image33.png"/><Relationship Id="rId38" Type="http://schemas.openxmlformats.org/officeDocument/2006/relationships/image" Target="media/image32.png"/><Relationship Id="rId37" Type="http://schemas.openxmlformats.org/officeDocument/2006/relationships/image" Target="media/image31.png"/><Relationship Id="rId36" Type="http://schemas.openxmlformats.org/officeDocument/2006/relationships/image" Target="media/image30.png"/><Relationship Id="rId35" Type="http://schemas.openxmlformats.org/officeDocument/2006/relationships/image" Target="media/image29.png"/><Relationship Id="rId34" Type="http://schemas.openxmlformats.org/officeDocument/2006/relationships/image" Target="media/image28.png"/><Relationship Id="rId33" Type="http://schemas.openxmlformats.org/officeDocument/2006/relationships/image" Target="media/image27.png"/><Relationship Id="rId32" Type="http://schemas.openxmlformats.org/officeDocument/2006/relationships/image" Target="media/image26.png"/><Relationship Id="rId31" Type="http://schemas.openxmlformats.org/officeDocument/2006/relationships/image" Target="media/image25.png"/><Relationship Id="rId30" Type="http://schemas.openxmlformats.org/officeDocument/2006/relationships/image" Target="media/image24.png"/><Relationship Id="rId3" Type="http://schemas.openxmlformats.org/officeDocument/2006/relationships/footnotes" Target="footnotes.xml"/><Relationship Id="rId29" Type="http://schemas.openxmlformats.org/officeDocument/2006/relationships/image" Target="media/image23.png"/><Relationship Id="rId28" Type="http://schemas.openxmlformats.org/officeDocument/2006/relationships/image" Target="media/image22.png"/><Relationship Id="rId27" Type="http://schemas.openxmlformats.org/officeDocument/2006/relationships/image" Target="media/image21.png"/><Relationship Id="rId26" Type="http://schemas.openxmlformats.org/officeDocument/2006/relationships/image" Target="media/image20.png"/><Relationship Id="rId25" Type="http://schemas.openxmlformats.org/officeDocument/2006/relationships/image" Target="media/image19.png"/><Relationship Id="rId24" Type="http://schemas.openxmlformats.org/officeDocument/2006/relationships/image" Target="media/image18.png"/><Relationship Id="rId23" Type="http://schemas.openxmlformats.org/officeDocument/2006/relationships/image" Target="media/image17.png"/><Relationship Id="rId22" Type="http://schemas.openxmlformats.org/officeDocument/2006/relationships/image" Target="media/image16.png"/><Relationship Id="rId21" Type="http://schemas.openxmlformats.org/officeDocument/2006/relationships/image" Target="media/image15.png"/><Relationship Id="rId20" Type="http://schemas.openxmlformats.org/officeDocument/2006/relationships/image" Target="media/image14.png"/><Relationship Id="rId2" Type="http://schemas.openxmlformats.org/officeDocument/2006/relationships/settings" Target="settings.xml"/><Relationship Id="rId19" Type="http://schemas.openxmlformats.org/officeDocument/2006/relationships/image" Target="media/image13.png"/><Relationship Id="rId18" Type="http://schemas.openxmlformats.org/officeDocument/2006/relationships/image" Target="media/image12.png"/><Relationship Id="rId17" Type="http://schemas.openxmlformats.org/officeDocument/2006/relationships/image" Target="media/image11.png"/><Relationship Id="rId16" Type="http://schemas.openxmlformats.org/officeDocument/2006/relationships/image" Target="media/image10.png"/><Relationship Id="rId15" Type="http://schemas.openxmlformats.org/officeDocument/2006/relationships/image" Target="media/image9.png"/><Relationship Id="rId14" Type="http://schemas.openxmlformats.org/officeDocument/2006/relationships/image" Target="media/image8.png"/><Relationship Id="rId13" Type="http://schemas.openxmlformats.org/officeDocument/2006/relationships/image" Target="media/image7.png"/><Relationship Id="rId12" Type="http://schemas.openxmlformats.org/officeDocument/2006/relationships/image" Target="media/image6.png"/><Relationship Id="rId11" Type="http://schemas.openxmlformats.org/officeDocument/2006/relationships/image" Target="media/image5.png"/><Relationship Id="rId10" Type="http://schemas.openxmlformats.org/officeDocument/2006/relationships/image" Target="media/image4.png"/><Relationship Id="rId1" Type="http://schemas.openxmlformats.org/officeDocument/2006/relationships/styles" Target="styles.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Company>WWW.YlmF.CoM</Company>
  <Pages>29</Pages>
  <Words>4406</Words>
  <Characters>4605</Characters>
  <Lines>2</Lines>
  <Paragraphs>5</Paragraphs>
  <TotalTime>0</TotalTime>
  <ScaleCrop>false</ScaleCrop>
  <LinksUpToDate>false</LinksUpToDate>
  <CharactersWithSpaces>4639</CharactersWithSpaces>
  <Application>WPS Office_12.1.0.25865_F1E327BC-269C-435d-A152-05C5408002CA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2023-08-14T06:51:00Z</dcterms:created>
  <dc:creator>USER</dc:creator>
  <cp:lastModifiedBy>河中鱼</cp:lastModifiedBy>
  <cp:lastPrinted>2019-07-10T11:21:00Z</cp:lastPrinted>
  <dcterms:modified xsi:type="dcterms:W3CDTF">2026-04-30T02:12:20Z</dcterms:modified>
  <dc:title>广西地方标准《脱氢枞酸》（征求意见稿）</dc:title>
  <cp:revision>60</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2052-12.1.0.25865</vt:lpwstr>
  </property>
  <property fmtid="{D5CDD505-2E9C-101B-9397-08002B2CF9AE}" pid="3" name="ICV">
    <vt:lpwstr>484DF7F1BEB842158BCD0584349217B5</vt:lpwstr>
  </property>
  <property fmtid="{D5CDD505-2E9C-101B-9397-08002B2CF9AE}" pid="4" name="KSOTemplateDocerSaveRecord">
    <vt:lpwstr>eyJoZGlkIjoiYWU5ODIyNDQzMTFlYmNiMzlhMmFkNjExNWM2YjM4YTYiLCJ1c2VySWQiOiIxNjgzMDY0NzMzIn0=</vt:lpwstr>
  </property>
</Properties>
</file>